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Healthcare in India: The Case for Equal, Respectful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Pride celebrations bring visibility, but LGBTQ+ healthcare in India still faces deeper challenges, from stigma and gaps in medical training to barriers around family recognition. Here’s why equal access matters throughout life, and how clinicians, policymakers and health services can make care more respectful and practical for everyone.</w:t>
      </w:r>
      <w:r/>
    </w:p>
    <w:p>
      <w:pPr>
        <w:pStyle w:val="Heading2"/>
      </w:pPr>
      <w:r>
        <w:t>Essential Takeaways</w:t>
      </w:r>
      <w:r/>
      <w:r/>
    </w:p>
    <w:p>
      <w:pPr>
        <w:pStyle w:val="ListBullet"/>
        <w:spacing w:line="240" w:lineRule="auto"/>
        <w:ind w:left="720"/>
      </w:pPr>
      <w:r/>
      <w:r>
        <w:rPr>
          <w:b/>
        </w:rPr>
        <w:t>Legal progress isn't the same as equal care:</w:t>
      </w:r>
      <w:r>
        <w:t xml:space="preserve"> Key court rulings have changed the legal landscape, but discrimination and social pressure still affect access to healthcare.</w:t>
      </w:r>
      <w:r/>
    </w:p>
    <w:p>
      <w:pPr>
        <w:pStyle w:val="ListBullet"/>
        <w:spacing w:line="240" w:lineRule="auto"/>
        <w:ind w:left="720"/>
      </w:pPr>
      <w:r/>
      <w:r>
        <w:rPr>
          <w:b/>
        </w:rPr>
        <w:t>Research remains uneven:</w:t>
      </w:r>
      <w:r>
        <w:t xml:space="preserve"> Indian LGBTQ+ health studies have often focused on HIV and sexually transmitted infections, leaving other needs less explored.</w:t>
      </w:r>
      <w:r/>
    </w:p>
    <w:p>
      <w:pPr>
        <w:pStyle w:val="ListBullet"/>
        <w:spacing w:line="240" w:lineRule="auto"/>
        <w:ind w:left="720"/>
      </w:pPr>
      <w:r/>
      <w:r>
        <w:rPr>
          <w:b/>
        </w:rPr>
        <w:t>Training matters:</w:t>
      </w:r>
      <w:r>
        <w:t xml:space="preserve"> More LGBTQ+-affirming education can help healthcare workers offer respectful, informed care.</w:t>
      </w:r>
      <w:r/>
    </w:p>
    <w:p>
      <w:pPr>
        <w:pStyle w:val="ListBullet"/>
        <w:spacing w:line="240" w:lineRule="auto"/>
        <w:ind w:left="720"/>
      </w:pPr>
      <w:r/>
      <w:r>
        <w:rPr>
          <w:b/>
        </w:rPr>
        <w:t>Family recognition affects health:</w:t>
      </w:r>
      <w:r>
        <w:t xml:space="preserve"> Same-sex couples may face obstacles in medical decisions and care because their relationships aren't legally recognised.</w:t>
      </w:r>
      <w:r/>
    </w:p>
    <w:p>
      <w:pPr>
        <w:pStyle w:val="ListBullet"/>
        <w:spacing w:line="240" w:lineRule="auto"/>
        <w:ind w:left="720"/>
      </w:pPr>
      <w:r/>
      <w:r>
        <w:rPr>
          <w:b/>
        </w:rPr>
        <w:t>Pride needs practical follow-through:</w:t>
      </w:r>
      <w:r>
        <w:t xml:space="preserve"> Visibility is valuable, but everyday safety, dignity and continuity of care matter just as much.</w:t>
      </w:r>
      <w:r/>
      <w:r/>
    </w:p>
    <w:p>
      <w:pPr>
        <w:pStyle w:val="Heading2"/>
      </w:pPr>
      <w:r>
        <w:t>Pride is visible. Equal care is the harder test</w:t>
      </w:r>
      <w:r/>
    </w:p>
    <w:p>
      <w:r/>
      <w:r>
        <w:t>Pride can fill city streets with colour, yet the more difficult measure of progress is what happens in a clinic when someone needs help. In an opinion article for Telangana Today, Dr Kattamreddy Ananth Rupesh argues that stigma, inadequate training and legal gaps continue to shape LGBTQ+ people's healthcare experiences in India. The concern reaches beyond a single appointment: social pressure can affect mental health, relationships and a person's willingness to seek care.</w:t>
      </w:r>
      <w:r/>
    </w:p>
    <w:p>
      <w:r/>
      <w:r>
        <w:t>The article describes a gay man who entered a heterosexual marriage under family and social pressure, then faced profound distress. It's a stark example of how expectations around marriage and identity can spill into health. A compassionate health system can't undo every source of pressure, but it can make sure people aren't met with judgement when they ask for support.</w:t>
      </w:r>
      <w:r/>
    </w:p>
    <w:p>
      <w:pPr>
        <w:pStyle w:val="Heading2"/>
      </w:pPr>
      <w:r>
        <w:t>Legal advances haven't closed the care gap</w:t>
      </w:r>
      <w:r/>
    </w:p>
    <w:p>
      <w:r/>
      <w:r>
        <w:t>India has seen important legal milestones, including the 2014 NALSA judgment recognising transgender people's rights and the 2018 Navtej Singh Johar ruling decriminalising consensual same-sex relations. But legal recognition hasn't automatically translated into social acceptance or equal access to services, the Telangana Today commentary notes.</w:t>
      </w:r>
      <w:r/>
    </w:p>
    <w:p>
      <w:r/>
      <w:r>
        <w:t>The Supreme Court declined to recognise same-sex marriage in 2023, leaving questions about the protections and practical rights attached to marriage unresolved. As the Supreme Court Observer's case overview explains, the marriage-equality debate concerns legal recognition, not simply a public label. That distinction matters in healthcare, where partners may need to support one another or take part in decisions during serious illness.</w:t>
      </w:r>
      <w:r/>
    </w:p>
    <w:p>
      <w:pPr>
        <w:pStyle w:val="Heading2"/>
      </w:pPr>
      <w:r>
        <w:t>Research needs to look beyond HIV</w:t>
      </w:r>
      <w:r/>
    </w:p>
    <w:p>
      <w:r/>
      <w:r>
        <w:t xml:space="preserve">HIV prevention and sexually transmitted infections are important areas of public health, but they don't represent the whole picture. The commentary points to gaps in Indian research on mental health, chronic disease, reproductive health, ageing and access to gender-affirming care. Studies published in the </w:t>
      </w:r>
      <w:r>
        <w:rPr>
          <w:i/>
        </w:rPr>
        <w:t>Indian Journal of Community Medicine</w:t>
      </w:r>
      <w:r>
        <w:t xml:space="preserve"> and the </w:t>
      </w:r>
      <w:r>
        <w:rPr>
          <w:i/>
        </w:rPr>
        <w:t>International Journal of Community Medicine and Public Health</w:t>
      </w:r>
      <w:r>
        <w:t xml:space="preserve"> also explore LGBTQ+ health and the need to understand experiences beyond a narrow set of clinical concerns.</w:t>
      </w:r>
      <w:r/>
    </w:p>
    <w:p>
      <w:r/>
      <w:r>
        <w:t>Better evidence can help services respond to people's needs at different stages of life, rather than treating LGBTQ+ health as a specialist issue that begins and ends with sexual health. Researchers also need to account for differences in age, location and social circumstances. A person with a supportive online community may have options that someone facing isolation does not.</w:t>
      </w:r>
      <w:r/>
    </w:p>
    <w:p>
      <w:pPr>
        <w:pStyle w:val="Heading2"/>
      </w:pPr>
      <w:r>
        <w:t>What respectful healthcare can look like</w:t>
      </w:r>
      <w:r/>
    </w:p>
    <w:p>
      <w:r/>
      <w:r>
        <w:t>For patients, a useful first step is to look for a clinic that describes its services clearly and treats confidentiality seriously. You can ask whether staff have experience with LGBTQ+ patients, what information will be recorded, and whether a partner or trusted person can be included in care discussions. If a conversation feels uncomfortable, it's reasonable to ask for another clinician or seek a second opinion where that's possible.</w:t>
      </w:r>
      <w:r/>
    </w:p>
    <w:p>
      <w:r/>
      <w:r>
        <w:t>For healthcare providers, respectful care starts with listening rather than making assumptions about someone's identity, relationships or health needs. The Telangana Today article calls for LGBTQ+-affirming teaching in medical education, ongoing training and direct engagement with community members. Those measures are practical, not decorative: a patient's trust can depend on whether a clinician asks thoughtful questions and uses language that feels safe.</w:t>
      </w:r>
      <w:r/>
    </w:p>
    <w:p>
      <w:pPr>
        <w:pStyle w:val="Heading2"/>
      </w:pPr>
      <w:r>
        <w:t>From symbolic support to lasting change</w:t>
      </w:r>
      <w:r/>
    </w:p>
    <w:p>
      <w:r/>
      <w:r>
        <w:t>Pride campaigns can help make people visible, but the deeper work is quieter: better training, more inclusive research and services that don't leave patients feeling they must explain or defend who they are. The commentary also argues that professional bodies should take a clear position against conversion therapy, which international medical organisations have recognised as unethical and harmful.</w:t>
      </w:r>
      <w:r/>
    </w:p>
    <w:p>
      <w:r/>
      <w:r>
        <w:t>There isn't one quick fix for stigma or unequal access. But when healthcare workers are prepared, evidence reflects a wider range of experiences and partners can support one another without avoidable barriers, care becomes more humane for everyone.</w:t>
      </w:r>
      <w:r/>
    </w:p>
    <w:p>
      <w:r/>
      <w:r>
        <w:t>Equal care is measured in everyday moments, not just once a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[4]</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[4]</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https://telanganatoday.com/opinion-beyond-pride-lgbtq-people-need-equal-access-to-healthcare</w:t>
        </w:r>
      </w:hyperlink>
      <w:r>
        <w:t xml:space="preserve"> - Please view link - unable to able to access data</w:t>
      </w:r>
      <w:r/>
    </w:p>
    <w:p>
      <w:pPr>
        <w:pStyle w:val="ListNumber"/>
        <w:spacing w:line="240" w:lineRule="auto"/>
        <w:ind w:left="720"/>
      </w:pPr>
      <w:r/>
      <w:hyperlink r:id="rId9">
        <w:r>
          <w:rPr>
            <w:color w:val="0000EE"/>
            <w:u w:val="single"/>
          </w:rPr>
          <w:t>https://telanganatoday.com/opinion-beyond-pride-lgbtq-people-need-equal-access-to-healthcare</w:t>
        </w:r>
      </w:hyperlink>
      <w:r>
        <w:t xml:space="preserve"> - Dr Kattamreddy Ananth Rupesh argues that LGBTQ+ people in India need equal, respectful access to healthcare, and that legal progress and Pride events have not removed everyday barriers. He describes how social pressure, stigma and concealment can harm mental health and relationships, and discusses difficulties accessing gender-affirming, sexual and reproductive healthcare. The article highlights limited research beyond HIV and sexually transmitted infections, gaps in medical training, and barriers same-sex couples may face because marriage is not legally recognised. It calls for life-course research, inclusive education, community engagement and action against conversion therapy, urging health systems to provide dignity and continuity of care for all citizens.</w:t>
      </w:r>
      <w:r/>
    </w:p>
    <w:p>
      <w:pPr>
        <w:pStyle w:val="ListNumber"/>
        <w:spacing w:line="240" w:lineRule="auto"/>
        <w:ind w:left="720"/>
      </w:pPr>
      <w:r/>
      <w:hyperlink r:id="rId10">
        <w:r>
          <w:rPr>
            <w:color w:val="0000EE"/>
            <w:u w:val="single"/>
          </w:rPr>
          <w:t>https://pmc.ncbi.nlm.nih.gov/articles/PMC10118178/</w:t>
        </w:r>
      </w:hyperlink>
      <w:r>
        <w:t xml:space="preserve"> - This scoping review maps research on LGBTQI+ people’s health in India, examining 177 eligible studies published from 2010 to 2021. It finds that research has concentrated on gay men, men who have sex with men, transgender women, HIV and sexually transmitted infections. Mental-health burdens linked to stigma, discrimination and violence are also reported, alongside limited availability of gender-affirming care in government hospitals. The authors identify substantial evidence gaps, including sparse work on lesbian and bisexual women, transmasculine people, non-communicable diseases, rural communities and healthcare experiences across the life course. They recommend broader, better-funded research and interventions to improve services and inclusion.</w:t>
      </w:r>
      <w:r/>
    </w:p>
    <w:p>
      <w:pPr>
        <w:pStyle w:val="ListNumber"/>
        <w:spacing w:line="240" w:lineRule="auto"/>
        <w:ind w:left="720"/>
      </w:pPr>
      <w:r/>
      <w:hyperlink r:id="rId13">
        <w:r>
          <w:rPr>
            <w:color w:val="0000EE"/>
            <w:u w:val="single"/>
          </w:rPr>
          <w:t>https://pmc.ncbi.nlm.nih.gov/articles/PMC9423841/</w:t>
        </w:r>
      </w:hyperlink>
      <w:r>
        <w:t xml:space="preserve"> - This qualitative study explores discrimination experienced by LGBTQIA+ patients in selected Indian hospitals through a human-rights perspective. It describes barriers including binary-only paperwork, misgendering, difficulties with ward allocation, refusal or poor provision of care, and staff who lack relevant training. The authors discuss how stigma and limited clinical understanding can undermine patients’ willingness to seek healthcare and worsen disparities. They also note that available Indian research has often framed LGBTQIA+ health narrowly around HIV and mental health, leaving institutional practices and broader health needs less examined. The study supports more inclusive hospital policies, improved professional education and respectful, equitable treatment for LGBTQIA+ patients.</w:t>
      </w:r>
      <w:r/>
    </w:p>
    <w:p>
      <w:pPr>
        <w:pStyle w:val="ListNumber"/>
        <w:spacing w:line="240" w:lineRule="auto"/>
        <w:ind w:left="720"/>
      </w:pPr>
      <w:r/>
      <w:hyperlink r:id="rId14">
        <w:r>
          <w:rPr>
            <w:color w:val="0000EE"/>
            <w:u w:val="single"/>
          </w:rPr>
          <w:t>https://www.ijcmph.com/index.php/ijcmph/article/view/13800</w:t>
        </w:r>
      </w:hyperlink>
      <w:r>
        <w:t xml:space="preserve"> - This cross-sectional study assesses LGBTQ+ healthcare knowledge, awareness and attitudes among 120 medical graduates at a teaching hospital in North India. Although 73 per cent said they knew what LGBTQ+ meant, only 56 per cent correctly expanded the acronym. Around one quarter reported receiving no undergraduate training and wanted further instruction. Most respondents did not consider LGBTQ+ status a disorder, but the study found low overall awareness and readiness to provide care. Participants responded positively to a sensitisation session. The authors conclude that undergraduate curricula need focused educational interventions and reform, supporting the article’s call for better-prepared clinicians and evidence-based, inclusive healthcare.</w:t>
      </w:r>
      <w:r/>
    </w:p>
    <w:p>
      <w:pPr>
        <w:pStyle w:val="ListNumber"/>
        <w:spacing w:line="240" w:lineRule="auto"/>
        <w:ind w:left="720"/>
      </w:pPr>
      <w:r/>
      <w:hyperlink r:id="rId11">
        <w:r>
          <w:rPr>
            <w:color w:val="0000EE"/>
            <w:u w:val="single"/>
          </w:rPr>
          <w:t>https://api.sci.gov.in/supremecourt/2022/36593/36593_2022_1_1501_47792_Judgement_17-Oct-2023.pdf</w:t>
        </w:r>
      </w:hyperlink>
      <w:r>
        <w:t xml:space="preserve"> - The Supreme Court of India’s October 2023 judgment considers constitutional questions involving same-sex marriage and discusses transgender rights, the NALSA judgment and the Transgender Persons Act. It recognises transgender people’s right to identify with their chosen gender and describes legal protections concerning discrimination, welfare, residence, education, social security and health. The judgment also distinguishes gender identity from sexual orientation, explaining that the transgender statute does not cover every queer person. It acknowledges that legal enactment alone has not ended social discrimination and notes the absence of a comparable law protecting LGBTQ+ people from discrimination based on sexual orientation. The ruling provides primary legal context for the article’s account of progress and gaps.</w:t>
      </w:r>
      <w:r/>
    </w:p>
    <w:p>
      <w:pPr>
        <w:pStyle w:val="ListNumber"/>
        <w:spacing w:line="240" w:lineRule="auto"/>
        <w:ind w:left="720"/>
      </w:pPr>
      <w:r/>
      <w:hyperlink r:id="rId12">
        <w:r>
          <w:rPr>
            <w:color w:val="0000EE"/>
            <w:u w:val="single"/>
          </w:rPr>
          <w:t>https://www.scobserver.in/cases/plea-for-marriage-equality/</w:t>
        </w:r>
      </w:hyperlink>
      <w:r>
        <w:t xml:space="preserve"> - This case guide summarises the Supreme Court of India’s marriage-equality proceedings, including the petitions, central legal questions and October 2023 decision. The five-judge bench upheld the Special Marriage Act and held that queer people did not have a fundamental right to marry that the Court could recognise under the Act. The guide outlines arguments that non-recognition denies same-sex couples equality and marriage-related benefits, and records the judgment’s outcome. It offers context for the article’s discussion of legal uncertainty affecting couples and the distinction between constitutional ideals and practical recognition. The page is a case overview, not a substitute for the complete court judgment.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langanatoday.com/opinion-beyond-pride-lgbtq-people-need-equal-access-to-healthcare" TargetMode="External"/><Relationship Id="rId10" Type="http://schemas.openxmlformats.org/officeDocument/2006/relationships/hyperlink" Target="https://pmc.ncbi.nlm.nih.gov/articles/PMC10118178/" TargetMode="External"/><Relationship Id="rId11" Type="http://schemas.openxmlformats.org/officeDocument/2006/relationships/hyperlink" Target="https://api.sci.gov.in/supremecourt/2022/36593/36593_2022_1_1501_47792_Judgement_17-Oct-2023.pdf" TargetMode="External"/><Relationship Id="rId12" Type="http://schemas.openxmlformats.org/officeDocument/2006/relationships/hyperlink" Target="https://www.scobserver.in/cases/plea-for-marriage-equality/" TargetMode="External"/><Relationship Id="rId13" Type="http://schemas.openxmlformats.org/officeDocument/2006/relationships/hyperlink" Target="https://pmc.ncbi.nlm.nih.gov/articles/PMC9423841/" TargetMode="External"/><Relationship Id="rId14" Type="http://schemas.openxmlformats.org/officeDocument/2006/relationships/hyperlink" Target="https://www.ijcmph.com/index.php/ijcmph/article/view/13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