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to Spot Warning Signs of Abuse in a Relationship</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brightly coloured red, amber and green activity at Taiwan Pride invited visitors to think about what healthy intimacy looks like, and when a partner's behaviour may cross a line. The New Taipei City event paired scenario cards with practical advice on getting help, making a difficult subject easier to discuss in a welcoming, everyday setting.</w:t>
      </w:r>
      <w:r/>
    </w:p>
    <w:p>
      <w:pPr>
        <w:pStyle w:val="Heading2"/>
      </w:pPr>
      <w:r>
        <w:t>A simple game tackles a serious subject</w:t>
      </w:r>
      <w:r/>
    </w:p>
    <w:p>
      <w:r/>
      <w:r>
        <w:t>At Taiwan Pride's Rainbow Market, New Taipei's Domestic Violence and Sexual Assault Prevention Centre used a traffic-light game to help visitors recognise possible abuse in intimate relationships. People drew scenario cards, then placed a red, yellow or green sticker on a board to show whether they saw violence, a possible warning sign or healthy interaction. (Source: CNA)</w:t>
      </w:r>
      <w:r/>
    </w:p>
    <w:p>
      <w:r/>
      <w:r>
        <w:t>The format was deliberately hands-on, but the conversations behind it were serious. Visitors could talk through why a behaviour might be troubling and consider what support could look like, without needing to arrive with all the right words. (Source: New Taipei City Social Welfare Department)</w:t>
      </w:r>
      <w:r/>
    </w:p>
    <w:p>
      <w:pPr>
        <w:pStyle w:val="Heading2"/>
      </w:pPr>
      <w:r>
        <w:t>Control can be disguised as concern</w:t>
      </w:r>
      <w:r/>
    </w:p>
    <w:p>
      <w:r/>
      <w:r>
        <w:t>Harm doesn't always begin with an obvious threat. New Taipei's centre director, Hsu Chih-chi, said controlling behaviour may be presented as proof of affection, while pressure to give up privacy or comply out of fear deserves attention. (Source: New Taipei City Social Welfare Department)</w:t>
      </w:r>
      <w:r/>
    </w:p>
    <w:p>
      <w:r/>
      <w:r>
        <w:t>For LGBTQ+ people, the threat to reveal someone's sexual orientation or gender identity can also be used as a means of control. Taiwan Pride's theme called for listening to different voices and supporting people to express their identity freely, making the festival a fitting place to discuss safety as well as celebration. (Sources: New Taipei City Social Welfare Department; Taiwan Pride)</w:t>
      </w:r>
      <w:r/>
    </w:p>
    <w:p>
      <w:pPr>
        <w:pStyle w:val="Heading2"/>
      </w:pPr>
      <w:r>
        <w:t>A visitor's experience shows why the signs matter</w:t>
      </w:r>
      <w:r/>
    </w:p>
    <w:p>
      <w:r/>
      <w:r>
        <w:t>One participant, identified as Xiao Hua, said a former partner had once put them in a chokehold. At the time, they hadn't recognised the act as a possible form of relationship violence, and had assumed it was simply something their partner liked. (Source: New Taipei City Social Welfare Department)</w:t>
      </w:r>
      <w:r/>
    </w:p>
    <w:p>
      <w:r/>
      <w:r>
        <w:t>The activity helped them reconsider what had happened and learn where to turn for help. That shift matters: a person shouldn't have to settle whether a partner "meant it" before taking their own discomfort seriously. (Sources: New Taipei City Social Welfare Department; Ministry of Health and Welfare)</w:t>
      </w:r>
      <w:r/>
    </w:p>
    <w:p>
      <w:pPr>
        <w:pStyle w:val="Heading2"/>
      </w:pPr>
      <w:r>
        <w:t>What to do if a partner is pressuring you</w:t>
      </w:r>
      <w:r/>
    </w:p>
    <w:p>
      <w:r/>
      <w:r>
        <w:t>Start by noticing how the relationship affects your ability to say no. Feeling afraid, being pushed to share private information, or having your choices restricted can be reasons to speak with someone you trust or seek professional support. A conversation doesn't have to begin with a label; describing what happened is enough. (Sources: New Taipei City Social Welfare Department; RAINN)</w:t>
      </w:r>
      <w:r/>
    </w:p>
    <w:p>
      <w:r/>
      <w:r>
        <w:t>If intimate images are being used to threaten you or shared without consent, keep relevant messages, account details and web addresses, and contact police for help. In Taiwan, the 113 Protection Hotline is available for support, while 110 is the police emergency number. (Sources: New Taipei City Social Welfare Department; Ministry of Health and Welfare)</w:t>
      </w:r>
      <w:r/>
    </w:p>
    <w:p>
      <w:pPr>
        <w:pStyle w:val="Heading2"/>
      </w:pPr>
      <w:r>
        <w:t>Small, clear resources can open the door</w:t>
      </w:r>
      <w:r/>
    </w:p>
    <w:p>
      <w:r/>
      <w:r>
        <w:t>The centre also had community violence-prevention educators on hand to discuss warning signs, and offered rainbow-themed badminton charms that proved popular with visitors. It's a reminder that an approachable activity can make space for conversations people might otherwise put off. (Source: New Taipei City Social Welfare Department)</w:t>
      </w:r>
      <w:r/>
    </w:p>
    <w:p>
      <w:r/>
      <w:r>
        <w:t>No colour-coded board can decide what a person should do next, and everyone's circumstances differ. But if fear is making it hard to refuse, or a partner is using identity, privacy or physical force to control you, seeking confidential advice is a reasonable next step. (Sources: New Taipei City Social Welfare Department; RAINN)</w:t>
      </w:r>
      <w:r/>
    </w:p>
    <w:p>
      <w:r/>
      <w:r>
        <w:t>It's OK to ask for help before you're certain what to call what happened.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Paragraph 2: </w:t>
      </w:r>
      <w:hyperlink r:id="rId11">
        <w:r>
          <w:rPr>
            <w:color w:val="0000EE"/>
            <w:u w:val="single"/>
          </w:rPr>
          <w:t>[3]</w:t>
        </w:r>
      </w:hyperlink>
      <w:r>
        <w:t xml:space="preserve">- Paragraph 3: </w:t>
      </w:r>
      <w:hyperlink r:id="rId11">
        <w:r>
          <w:rPr>
            <w:color w:val="0000EE"/>
            <w:u w:val="single"/>
          </w:rPr>
          <w:t>[3]</w:t>
        </w:r>
      </w:hyperlink>
      <w:r>
        <w:t xml:space="preserve">- Paragraph 4: </w:t>
      </w:r>
      <w:hyperlink r:id="rId11">
        <w:r>
          <w:rPr>
            <w:color w:val="0000EE"/>
            <w:u w:val="single"/>
          </w:rPr>
          <w:t>[3]</w:t>
        </w:r>
      </w:hyperlink>
      <w:r>
        <w:t xml:space="preserve">, </w:t>
      </w:r>
      <w:hyperlink r:id="rId12">
        <w:r>
          <w:rPr>
            <w:color w:val="0000EE"/>
            <w:u w:val="single"/>
          </w:rPr>
          <w:t>[5]</w:t>
        </w:r>
      </w:hyperlink>
      <w:r>
        <w:t xml:space="preserve">- Paragraph 5: </w:t>
      </w:r>
      <w:hyperlink r:id="rId11">
        <w:r>
          <w:rPr>
            <w:color w:val="0000EE"/>
            <w:u w:val="single"/>
          </w:rPr>
          <w:t>[3]</w:t>
        </w:r>
      </w:hyperlink>
      <w:r>
        <w:t xml:space="preserve">- Paragraph 6: </w:t>
      </w:r>
      <w:hyperlink r:id="rId11">
        <w:r>
          <w:rPr>
            <w:color w:val="0000EE"/>
            <w:u w:val="single"/>
          </w:rPr>
          <w:t>[3]</w:t>
        </w:r>
      </w:hyperlink>
      <w:r>
        <w:t xml:space="preserve">, </w:t>
      </w:r>
      <w:hyperlink r:id="rId13">
        <w:r>
          <w:rPr>
            <w:color w:val="0000EE"/>
            <w:u w:val="single"/>
          </w:rPr>
          <w:t>[6]</w:t>
        </w:r>
      </w:hyperlink>
      <w:r>
        <w:t xml:space="preserve">- Paragraph 7: </w:t>
      </w:r>
      <w:hyperlink r:id="rId11">
        <w:r>
          <w:rPr>
            <w:color w:val="0000EE"/>
            <w:u w:val="single"/>
          </w:rPr>
          <w:t>[3]</w:t>
        </w:r>
      </w:hyperlink>
      <w:r>
        <w:t xml:space="preserve">, </w:t>
      </w:r>
      <w:hyperlink r:id="rId14">
        <w:r>
          <w:rPr>
            <w:color w:val="0000EE"/>
            <w:u w:val="single"/>
          </w:rPr>
          <w:t>[7]</w:t>
        </w:r>
      </w:hyperlink>
      <w:r>
        <w:t xml:space="preserve">- Paragraph 8: </w:t>
      </w:r>
      <w:hyperlink r:id="rId11">
        <w:r>
          <w:rPr>
            <w:color w:val="0000EE"/>
            <w:u w:val="single"/>
          </w:rPr>
          <w:t>[3]</w:t>
        </w:r>
      </w:hyperlink>
      <w:r>
        <w:t xml:space="preserve">, </w:t>
      </w:r>
      <w:hyperlink r:id="rId13">
        <w:r>
          <w:rPr>
            <w:color w:val="0000EE"/>
            <w:u w:val="single"/>
          </w:rPr>
          <w:t>[6]</w:t>
        </w:r>
      </w:hyperlink>
      <w:r>
        <w:t xml:space="preserve">- Paragraph 9: </w:t>
      </w:r>
      <w:hyperlink r:id="rId11">
        <w:r>
          <w:rPr>
            <w:color w:val="0000EE"/>
            <w:u w:val="single"/>
          </w:rPr>
          <w:t>[3]</w:t>
        </w:r>
      </w:hyperlink>
      <w:r>
        <w:t xml:space="preserve">- Paragraph 10: </w:t>
      </w:r>
      <w:hyperlink r:id="rId11">
        <w:r>
          <w:rPr>
            <w:color w:val="0000EE"/>
            <w:u w:val="single"/>
          </w:rPr>
          <w:t>[3]</w:t>
        </w:r>
      </w:hyperlink>
      <w:r>
        <w:t xml:space="preserve">, </w:t>
      </w:r>
      <w:hyperlink r:id="rId14">
        <w:r>
          <w:rPr>
            <w:color w:val="0000EE"/>
            <w:u w:val="single"/>
          </w:rPr>
          <w:t>[7]</w:t>
        </w:r>
      </w:hyperlink>
      <w:r>
        <w:t xml:space="preserve">- Paragraph 11: </w:t>
      </w:r>
      <w:hyperlink r:id="rId11">
        <w:r>
          <w:rPr>
            <w:color w:val="0000EE"/>
            <w:u w:val="single"/>
          </w:rPr>
          <w:t>[3]</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https://news.ltn.com.tw/news/life/breakingnews/5625039</w:t>
        </w:r>
      </w:hyperlink>
      <w:r>
        <w:t xml:space="preserve"> - Please view link - unable to able to access data</w:t>
      </w:r>
      <w:r/>
    </w:p>
    <w:p>
      <w:pPr>
        <w:pStyle w:val="ListNumber"/>
        <w:spacing w:line="240" w:lineRule="auto"/>
        <w:ind w:left="720"/>
      </w:pPr>
      <w:r/>
      <w:hyperlink r:id="rId9">
        <w:r>
          <w:rPr>
            <w:color w:val="0000EE"/>
            <w:u w:val="single"/>
          </w:rPr>
          <w:t>https://news.ltn.com.tw/news/life/breakingnews/5625039</w:t>
        </w:r>
      </w:hyperlink>
      <w:r>
        <w:t xml:space="preserve"> - This Liberty Times report describes New Taipei’s Family Violence and Sexual Assault Prevention Centre running an interactive stall at the Taiwan LGBT+ Pride Rainbow Market on 31 October. Visitors draw scenario cards and place coloured stickers on a board to identify abusive, potentially abusive or healthy relationship behaviour. The article includes a participant’s account of not recognising a partner’s choking as a warning sign, and explains that controlling behaviour may be disguised as care. It also highlights threats to disclose someone’s sexual orientation or gender identity, recommends seeking help when fear or pressure prevents refusal, and gives 113 and 110 as support routes.</w:t>
      </w:r>
      <w:r/>
    </w:p>
    <w:p>
      <w:pPr>
        <w:pStyle w:val="ListNumber"/>
        <w:spacing w:line="240" w:lineRule="auto"/>
        <w:ind w:left="720"/>
      </w:pPr>
      <w:r/>
      <w:hyperlink r:id="rId11">
        <w:r>
          <w:rPr>
            <w:color w:val="0000EE"/>
            <w:u w:val="single"/>
          </w:rPr>
          <w:t>https://www.sw.ntpc.gov.tw/home.jsp?act=be4f48068b2b0031&amp;dataserno=54ce4a2c735403e15082fbcccde0c8b2&amp;id=6918f79d690935a2&amp;mserno=f2d603f5908a2f57a5d1cee327060ddc</w:t>
        </w:r>
      </w:hyperlink>
      <w:r>
        <w:t xml:space="preserve"> - New Taipei City’s Social Welfare Department reports that its Family Violence and Sexual Assault Prevention Centre took part in the Taiwan LGBT+ Pride Rainbow Market on 31 October. Its booth used a relationship-violence traffic-light activity: participants drew situation cards, selected red, amber or green stickers, and discussed risks and ways to seek assistance. The department’s account describes the event as a way to make violence prevention part of everyday life. It also notes the importance of supporting people of diverse genders and sexual orientations and identifies the 113 protection hotline and 110 police emergency number as routes to help.</w:t>
      </w:r>
      <w:r/>
    </w:p>
    <w:p>
      <w:pPr>
        <w:pStyle w:val="ListNumber"/>
        <w:spacing w:line="240" w:lineRule="auto"/>
        <w:ind w:left="720"/>
      </w:pPr>
      <w:r/>
      <w:hyperlink r:id="rId10">
        <w:r>
          <w:rPr>
            <w:color w:val="0000EE"/>
            <w:u w:val="single"/>
          </w:rPr>
          <w:t>https://www.cna.com.tw/news/ahel/202609300044.aspx</w:t>
        </w:r>
      </w:hyperlink>
      <w:r>
        <w:t xml:space="preserve"> - This Central News Agency report previews Taiwan’s annual LGBT+ Pride march, scheduled for 31 October 2026 in Taipei. It says the organisers selected the theme “Our Voices, Our Journey”, calling for people to listen across differences and support diverse communities. The report notes the event’s two-route format and its wider message about inclusion, democratic participation and gender equality. It also situates the march in an election year and refers to concerns about international opposition to diversity, equity and inclusion initiatives. This provides background for the event theme mentioned in the supplied article and clarifies its public-facing message.</w:t>
      </w:r>
      <w:r/>
    </w:p>
    <w:p>
      <w:pPr>
        <w:pStyle w:val="ListNumber"/>
        <w:spacing w:line="240" w:lineRule="auto"/>
        <w:ind w:left="720"/>
      </w:pPr>
      <w:r/>
      <w:hyperlink r:id="rId12">
        <w:r>
          <w:rPr>
            <w:color w:val="0000EE"/>
            <w:u w:val="single"/>
          </w:rPr>
          <w:t>https://taiwanpride.squarespace.com/2026-theme-statement-zh</w:t>
        </w:r>
      </w:hyperlink>
      <w:r>
        <w:t xml:space="preserve"> - The official 2026 Taiwan LGBT+ Pride theme statement explains the meaning behind “聲做伙聽，路做伙行” (“Our Voices, Our Journey”). It argues that listening and dialogue help people understand experiences across differences of language, gender, culture and social position. The organisers connect this approach with challenging prejudice, protecting democratic freedoms and advancing gender equality. The statement also discusses concerns about public attitudes and the vulnerability of LGBT+ rights, presenting the march as part of ongoing civic action. It supports the supplied article’s description of the theme as an invitation to hear diverse voices and walk forward together.</w:t>
      </w:r>
      <w:r/>
    </w:p>
    <w:p>
      <w:pPr>
        <w:pStyle w:val="ListNumber"/>
        <w:spacing w:line="240" w:lineRule="auto"/>
        <w:ind w:left="720"/>
      </w:pPr>
      <w:r/>
      <w:hyperlink r:id="rId13">
        <w:r>
          <w:rPr>
            <w:color w:val="0000EE"/>
            <w:u w:val="single"/>
          </w:rPr>
          <w:t>https://dep.mohw.gov.tw/DOPs/cp-1183-6499-105.html</w:t>
        </w:r>
      </w:hyperlink>
      <w:r>
        <w:t xml:space="preserve"> - Taiwan’s Ministry of Health and Welfare describes the 113 protection hotline as a free, nationwide service available around the clock. People affected by domestic violence, sexual assault or sexual harassment, as well as concerned friends or family members, can call for consultation, reporting or assistance. The page advises callers to provide relevant information about the person, circumstances, time and location. It also notes that text-message and online consultation options are available. The guidance distinguishes immediate danger from other support needs: where someone faces an urgent threat to personal safety, the public should contact police on 110.</w:t>
      </w:r>
      <w:r/>
    </w:p>
    <w:p>
      <w:pPr>
        <w:pStyle w:val="ListNumber"/>
        <w:spacing w:line="240" w:lineRule="auto"/>
        <w:ind w:left="720"/>
      </w:pPr>
      <w:r/>
      <w:hyperlink r:id="rId14">
        <w:r>
          <w:rPr>
            <w:color w:val="0000EE"/>
            <w:u w:val="single"/>
          </w:rPr>
          <w:t>https://rainn.org/strategies-to-reduce-risk-increase-safety/how-to-respond-if-someone-is-pressuring-you/</w:t>
        </w:r>
      </w:hyperlink>
      <w:r>
        <w:t xml:space="preserve"> - RAINN explains that coercion is emotional or psychological abuse involving attempts to manipulate or control someone into agreeing to something they do not want. Examples include guilt or shame, threats to end a relationship, repeatedly ignoring refusal, intimidation and anger. The guidance stresses that consent must be given freely, without pressure, manipulation or threats, and that feeling uncomfortable is a valid reason to say no. It also advises people experiencing pressure to trust their instincts and take steps to protect themselves. This supports the supplied article’s broader advice about recognising control, fear and forced compliance in relationships.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ews.ltn.com.tw/news/life/breakingnews/5625039" TargetMode="External"/><Relationship Id="rId10" Type="http://schemas.openxmlformats.org/officeDocument/2006/relationships/hyperlink" Target="https://www.cna.com.tw/news/ahel/202609300044.aspx" TargetMode="External"/><Relationship Id="rId11" Type="http://schemas.openxmlformats.org/officeDocument/2006/relationships/hyperlink" Target="https://www.sw.ntpc.gov.tw/home.jsp?act=be4f48068b2b0031&amp;dataserno=54ce4a2c735403e15082fbcccde0c8b2&amp;id=6918f79d690935a2&amp;mserno=f2d603f5908a2f57a5d1cee327060ddc" TargetMode="External"/><Relationship Id="rId12" Type="http://schemas.openxmlformats.org/officeDocument/2006/relationships/hyperlink" Target="https://taiwanpride.squarespace.com/2026-theme-statement-zh" TargetMode="External"/><Relationship Id="rId13" Type="http://schemas.openxmlformats.org/officeDocument/2006/relationships/hyperlink" Target="https://dep.mohw.gov.tw/DOPs/cp-1183-6499-105.html" TargetMode="External"/><Relationship Id="rId14" Type="http://schemas.openxmlformats.org/officeDocument/2006/relationships/hyperlink" Target="https://rainn.org/strategies-to-reduce-risk-increase-safety/how-to-respond-if-someone-is-pressuring-yo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