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AI Describes Trans People: What the Research Found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QueerAF investigation suggests popular AI chatbots often frame trans people through legal and medical language, even when a question is about everyday life. Its findings raise a bigger question for anyone using AI to understand LGBTQIA+ news: whose perspectives are missing when a neat-sounding summary replaces lived experience?</w:t>
      </w:r>
      <w:r/>
    </w:p>
    <w:p>
      <w:pPr>
        <w:pStyle w:val="Heading2"/>
      </w:pPr>
      <w:r>
        <w:t>AI answers keep turning trans lives into a debate</w:t>
      </w:r>
      <w:r/>
    </w:p>
    <w:p>
      <w:r/>
      <w:r>
        <w:t>In an investigation of 504 prompts to popular AI models, QueerAF found that 94% of responses used at least one legal or medical term. The pattern appeared even when questions weren't specifically about healthcare or law, making the language feel less like helpful context and more like a filter placed over ordinary lives.</w:t>
      </w:r>
      <w:r/>
    </w:p>
    <w:p>
      <w:r/>
      <w:r>
        <w:t>The results don't suggest every response was openly hostile. Instead, QueerAF says the models often set progressive perspectives alongside anti-trans arguments, presenting the subject as a dispute with two equivalent sides. That can sound measured, but balance isn't the same as accuracy or fair representation. (</w:t>
      </w:r>
      <w:hyperlink r:id="rId9">
        <w:r>
          <w:rPr>
            <w:color w:val="0000EE"/>
            <w:u w:val="single"/>
          </w:rPr>
          <w:t>[2]</w:t>
        </w:r>
      </w:hyperlink>
      <w:r>
        <w:t>)</w:t>
      </w:r>
      <w:r/>
    </w:p>
    <w:p>
      <w:pPr>
        <w:pStyle w:val="Heading2"/>
      </w:pPr>
      <w:r>
        <w:t>Why a balanced-sounding answer can mislead</w:t>
      </w:r>
      <w:r/>
    </w:p>
    <w:p>
      <w:r/>
      <w:r>
        <w:t>The source material behind an AI answer matters as much as its tone. QueerAF reported that around one in five responses citing legal or medical language drew on the Cass Review, and said only a handful of those answers noted that the review is disputed. A fluent paragraph can therefore sound settled while leaving important context out. (</w:t>
      </w:r>
      <w:hyperlink r:id="rId9">
        <w:r>
          <w:rPr>
            <w:color w:val="0000EE"/>
            <w:u w:val="single"/>
          </w:rPr>
          <w:t>[2]</w:t>
        </w:r>
      </w:hyperlink>
      <w:r>
        <w:t>)</w:t>
      </w:r>
      <w:r/>
    </w:p>
    <w:p>
      <w:r/>
      <w:r>
        <w:t>Research offers useful context for specific claims. The Williams Institute has published studies on transgender people's experiences in public spaces and restrooms, while Stonewall's LGBT in Britain report documents trans people's experiences of discrimination and safety. Those sources don't make every question simple, but they show why a chatbot's compressed summary shouldn't be mistaken for the whole picture. (</w:t>
      </w:r>
      <w:hyperlink r:id="rId10">
        <w:r>
          <w:rPr>
            <w:color w:val="0000EE"/>
            <w:u w:val="single"/>
          </w:rPr>
          <w:t>[4]</w:t>
        </w:r>
      </w:hyperlink>
      <w:r>
        <w:t xml:space="preserve">, </w:t>
      </w:r>
      <w:hyperlink r:id="rId11">
        <w:r>
          <w:rPr>
            <w:color w:val="0000EE"/>
            <w:u w:val="single"/>
          </w:rPr>
          <w:t>[5]</w:t>
        </w:r>
      </w:hyperlink>
      <w:r>
        <w:t xml:space="preserve">, </w:t>
      </w:r>
      <w:hyperlink r:id="rId12">
        <w:r>
          <w:rPr>
            <w:color w:val="0000EE"/>
            <w:u w:val="single"/>
          </w:rPr>
          <w:t>[6]</w:t>
        </w:r>
      </w:hyperlink>
      <w:r>
        <w:t>)</w:t>
      </w:r>
      <w:r/>
    </w:p>
    <w:p>
      <w:pPr>
        <w:pStyle w:val="Heading2"/>
      </w:pPr>
      <w:r>
        <w:t>Search summaries make the stakes more immediate</w:t>
      </w:r>
      <w:r/>
    </w:p>
    <w:p>
      <w:r/>
      <w:r>
        <w:t>More people are encountering information through AI-generated summaries rather than clicking through to the reporting and research beneath them. Pew Research Center has examined how the appearance of Google's AI summaries affects users' likelihood of clicking links, an important shift when readers may see a short answer without its full trail of evidence. (</w:t>
      </w:r>
      <w:hyperlink r:id="rId13">
        <w:r>
          <w:rPr>
            <w:color w:val="0000EE"/>
            <w:u w:val="single"/>
          </w:rPr>
          <w:t>[7]</w:t>
        </w:r>
      </w:hyperlink>
      <w:r>
        <w:t>)</w:t>
      </w:r>
      <w:r/>
    </w:p>
    <w:p>
      <w:r/>
      <w:r>
        <w:t>That makes source diversity more than a newsroom concern. If a summary leans heavily on legal disputes and medical terminology, readers may come away thinking trans lives are mainly a controversy to be adjudicated, rather than experiences shaped by families, communities and everyday choices. (</w:t>
      </w:r>
      <w:hyperlink r:id="rId9">
        <w:r>
          <w:rPr>
            <w:color w:val="0000EE"/>
            <w:u w:val="single"/>
          </w:rPr>
          <w:t>[2]</w:t>
        </w:r>
      </w:hyperlink>
      <w:r>
        <w:t xml:space="preserve">, </w:t>
      </w:r>
      <w:hyperlink r:id="rId13">
        <w:r>
          <w:rPr>
            <w:color w:val="0000EE"/>
            <w:u w:val="single"/>
          </w:rPr>
          <w:t>[7]</w:t>
        </w:r>
      </w:hyperlink>
      <w:r>
        <w:t>)</w:t>
      </w:r>
      <w:r/>
    </w:p>
    <w:p>
      <w:pPr>
        <w:pStyle w:val="Heading2"/>
      </w:pPr>
      <w:r>
        <w:t>What QueerAF is changing</w:t>
      </w:r>
      <w:r/>
    </w:p>
    <w:p>
      <w:r/>
      <w:r>
        <w:t>QueerAF says its investigation has informed a tougher policy against using generative AI to create journalism, building on a ban introduced in 2023. The outlet also says it plans to invest in LGBTQIA+ journalists, develop stronger accuracy and fact-checking systems, and prevent major AI models from crawling its site. (</w:t>
      </w:r>
      <w:hyperlink r:id="rId9">
        <w:r>
          <w:rPr>
            <w:color w:val="0000EE"/>
            <w:u w:val="single"/>
          </w:rPr>
          <w:t>[2]</w:t>
        </w:r>
      </w:hyperlink>
      <w:r>
        <w:t>)</w:t>
      </w:r>
      <w:r/>
    </w:p>
    <w:p>
      <w:r/>
      <w:r>
        <w:t>That approach reflects a wider debate about how newsrooms should use the technology. AI can produce a quick answer, but quick isn't automatically trustworthy; even OpenAI says ChatGPT can give incorrect or misleading information and should be checked against reliable sources. (</w:t>
      </w:r>
      <w:hyperlink r:id="rId14">
        <w:r>
          <w:rPr>
            <w:color w:val="0000EE"/>
            <w:u w:val="single"/>
          </w:rPr>
          <w:t>[8]</w:t>
        </w:r>
      </w:hyperlink>
      <w:r>
        <w:t>)</w:t>
      </w:r>
      <w:r/>
    </w:p>
    <w:p>
      <w:pPr>
        <w:pStyle w:val="Heading2"/>
      </w:pPr>
      <w:r>
        <w:t>How to check an AI answer about trans issues</w:t>
      </w:r>
      <w:r/>
    </w:p>
    <w:p>
      <w:r/>
      <w:r>
        <w:t>Treat a chatbot's response as a starting point, not a verdict. Look for the sources it names, check when they were published, and see whether the answer distinguishes established evidence from legal arguments or contested interpretations. If it uses a sweeping phrase such as "the science says", ask which evidence it means and what important perspectives might be missing. (</w:t>
      </w:r>
      <w:hyperlink r:id="rId9">
        <w:r>
          <w:rPr>
            <w:color w:val="0000EE"/>
            <w:u w:val="single"/>
          </w:rPr>
          <w:t>[2]</w:t>
        </w:r>
      </w:hyperlink>
      <w:r>
        <w:t xml:space="preserve">, </w:t>
      </w:r>
      <w:hyperlink r:id="rId14">
        <w:r>
          <w:rPr>
            <w:color w:val="0000EE"/>
            <w:u w:val="single"/>
          </w:rPr>
          <w:t>[8]</w:t>
        </w:r>
      </w:hyperlink>
      <w:r>
        <w:t>)</w:t>
      </w:r>
      <w:r/>
    </w:p>
    <w:p>
      <w:r/>
      <w:r>
        <w:t>Then compare the summary with reporting and research from organisations with relevant expertise, including LGBTQIA+ publications and researchers. A little extra reading can reveal what a tidy answer has flattened out. (</w:t>
      </w:r>
      <w:hyperlink r:id="rId15">
        <w:r>
          <w:rPr>
            <w:color w:val="0000EE"/>
            <w:u w:val="single"/>
          </w:rPr>
          <w:t>[3]</w:t>
        </w:r>
      </w:hyperlink>
      <w:r>
        <w:t xml:space="preserve">, </w:t>
      </w:r>
      <w:hyperlink r:id="rId10">
        <w:r>
          <w:rPr>
            <w:color w:val="0000EE"/>
            <w:u w:val="single"/>
          </w:rPr>
          <w:t>[4]</w:t>
        </w:r>
      </w:hyperlink>
      <w:r>
        <w:t xml:space="preserve">, </w:t>
      </w:r>
      <w:hyperlink r:id="rId11">
        <w:r>
          <w:rPr>
            <w:color w:val="0000EE"/>
            <w:u w:val="single"/>
          </w:rPr>
          <w:t>[5]</w:t>
        </w:r>
      </w:hyperlink>
      <w:r>
        <w:t xml:space="preserve">, </w:t>
      </w:r>
      <w:hyperlink r:id="rId12">
        <w:r>
          <w:rPr>
            <w:color w:val="0000EE"/>
            <w:u w:val="single"/>
          </w:rPr>
          <w:t>[6]</w:t>
        </w:r>
      </w:hyperlink>
      <w:r>
        <w:t>)</w:t>
      </w:r>
      <w:r/>
    </w:p>
    <w:p>
      <w:r/>
      <w:r>
        <w:t>AI can help locate information, but it can't replace careful reporting or the insight of people whose lives are being discussed.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Paragraph 3: </w:t>
      </w:r>
      <w:hyperlink r:id="rId9">
        <w:r>
          <w:rPr>
            <w:color w:val="0000EE"/>
            <w:u w:val="single"/>
          </w:rPr>
          <w:t>[2]</w:t>
        </w:r>
      </w:hyperlink>
      <w:r>
        <w:t xml:space="preserve">- Paragraph 4: </w:t>
      </w:r>
      <w:hyperlink r:id="rId10">
        <w:r>
          <w:rPr>
            <w:color w:val="0000EE"/>
            <w:u w:val="single"/>
          </w:rPr>
          <w:t>[4]</w:t>
        </w:r>
      </w:hyperlink>
      <w:r>
        <w:t xml:space="preserve">, </w:t>
      </w:r>
      <w:hyperlink r:id="rId11">
        <w:r>
          <w:rPr>
            <w:color w:val="0000EE"/>
            <w:u w:val="single"/>
          </w:rPr>
          <w:t>[5]</w:t>
        </w:r>
      </w:hyperlink>
      <w:r>
        <w:t xml:space="preserve">, </w:t>
      </w:r>
      <w:hyperlink r:id="rId12">
        <w:r>
          <w:rPr>
            <w:color w:val="0000EE"/>
            <w:u w:val="single"/>
          </w:rPr>
          <w:t>[6]</w:t>
        </w:r>
      </w:hyperlink>
      <w:r>
        <w:t xml:space="preserve">- Paragraph 5: </w:t>
      </w:r>
      <w:hyperlink r:id="rId13">
        <w:r>
          <w:rPr>
            <w:color w:val="0000EE"/>
            <w:u w:val="single"/>
          </w:rPr>
          <w:t>[7]</w:t>
        </w:r>
      </w:hyperlink>
      <w:r>
        <w:t xml:space="preserve">- Paragraph 6: </w:t>
      </w:r>
      <w:hyperlink r:id="rId9">
        <w:r>
          <w:rPr>
            <w:color w:val="0000EE"/>
            <w:u w:val="single"/>
          </w:rPr>
          <w:t>[2]</w:t>
        </w:r>
      </w:hyperlink>
      <w:r>
        <w:t xml:space="preserve">, </w:t>
      </w:r>
      <w:hyperlink r:id="rId13">
        <w:r>
          <w:rPr>
            <w:color w:val="0000EE"/>
            <w:u w:val="single"/>
          </w:rPr>
          <w:t>[7]</w:t>
        </w:r>
      </w:hyperlink>
      <w:r>
        <w:t xml:space="preserve">- Paragraph 7: </w:t>
      </w:r>
      <w:hyperlink r:id="rId9">
        <w:r>
          <w:rPr>
            <w:color w:val="0000EE"/>
            <w:u w:val="single"/>
          </w:rPr>
          <w:t>[2]</w:t>
        </w:r>
      </w:hyperlink>
      <w:r>
        <w:t xml:space="preserve">- Paragraph 8: </w:t>
      </w:r>
      <w:hyperlink r:id="rId14">
        <w:r>
          <w:rPr>
            <w:color w:val="0000EE"/>
            <w:u w:val="single"/>
          </w:rPr>
          <w:t>[8]</w:t>
        </w:r>
      </w:hyperlink>
      <w:r>
        <w:t xml:space="preserve">- Paragraph 9: </w:t>
      </w:r>
      <w:hyperlink r:id="rId9">
        <w:r>
          <w:rPr>
            <w:color w:val="0000EE"/>
            <w:u w:val="single"/>
          </w:rPr>
          <w:t>[2]</w:t>
        </w:r>
      </w:hyperlink>
      <w:r>
        <w:t xml:space="preserve">, </w:t>
      </w:r>
      <w:hyperlink r:id="rId14">
        <w:r>
          <w:rPr>
            <w:color w:val="0000EE"/>
            <w:u w:val="single"/>
          </w:rPr>
          <w:t>[8]</w:t>
        </w:r>
      </w:hyperlink>
      <w:r>
        <w:t xml:space="preserve">- Paragraph 10: </w:t>
      </w:r>
      <w:hyperlink r:id="rId15">
        <w:r>
          <w:rPr>
            <w:color w:val="0000EE"/>
            <w:u w:val="single"/>
          </w:rPr>
          <w:t>[3]</w:t>
        </w:r>
      </w:hyperlink>
      <w:r>
        <w:t xml:space="preserve">, </w:t>
      </w:r>
      <w:hyperlink r:id="rId10">
        <w:r>
          <w:rPr>
            <w:color w:val="0000EE"/>
            <w:u w:val="single"/>
          </w:rPr>
          <w:t>[4]</w:t>
        </w:r>
      </w:hyperlink>
      <w:r>
        <w:t xml:space="preserve">, </w:t>
      </w:r>
      <w:hyperlink r:id="rId11">
        <w:r>
          <w:rPr>
            <w:color w:val="0000EE"/>
            <w:u w:val="single"/>
          </w:rPr>
          <w:t>[5]</w:t>
        </w:r>
      </w:hyperlink>
      <w:r>
        <w:t xml:space="preserve">, </w:t>
      </w:r>
      <w:hyperlink r:id="rId12">
        <w:r>
          <w:rPr>
            <w:color w:val="0000EE"/>
            <w:u w:val="single"/>
          </w:rPr>
          <w:t>[6]</w:t>
        </w:r>
      </w:hyperlink>
      <w:r>
        <w:t xml:space="preserve">- Paragraph 11: </w:t>
      </w:r>
      <w:hyperlink r:id="rId9">
        <w:r>
          <w:rPr>
            <w:color w:val="0000EE"/>
            <w:u w:val="single"/>
          </w:rPr>
          <w:t>[2]</w:t>
        </w:r>
      </w:hyperlink>
      <w:r>
        <w:t xml:space="preserve">, </w:t>
      </w:r>
      <w:hyperlink r:id="rId14">
        <w:r>
          <w:rPr>
            <w:color w:val="0000EE"/>
            <w:u w:val="single"/>
          </w:rPr>
          <w:t>[8]</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https://www.wearequeeraf.com/understand-the-lgbtqia-news-a-combination-of-biological-psychological-and-social-factors-how-generative-ai-describes-trans-people/</w:t>
        </w:r>
      </w:hyperlink>
      <w:r>
        <w:t xml:space="preserve"> - Please view link - unable to able to access data</w:t>
      </w:r>
      <w:r/>
    </w:p>
    <w:p>
      <w:pPr>
        <w:pStyle w:val="ListNumber"/>
        <w:spacing w:line="240" w:lineRule="auto"/>
        <w:ind w:left="720"/>
      </w:pPr>
      <w:r/>
      <w:hyperlink r:id="rId9">
        <w:r>
          <w:rPr>
            <w:color w:val="0000EE"/>
            <w:u w:val="single"/>
          </w:rPr>
          <w:t>https://www.wearequeeraf.com/understand-the-lgbtqia-news-a-combination-of-biological-psychological-and-social-factors-how-generative-ai-describes-trans-people/</w:t>
        </w:r>
      </w:hyperlink>
      <w:r>
        <w:t xml:space="preserve"> - QueerAF reports on an investigation into how ChatGPT, Claude and Gemini describe trans people. Its researchers say they tested 504 prompts and found that 94% of responses used at least one legal or medical term, including when the prompt was not primarily about law or healthcare. The article argues that models can place transphobic and progressive claims side by side, making trans existence appear chiefly a matter of debate. It also describes examples involving public toilets and the Cass Review, outlines the publisher’s policy against AI-generated journalism, and calls for investment in LGBTQIA+ journalists and human-led fact-checking.</w:t>
      </w:r>
      <w:r/>
    </w:p>
    <w:p>
      <w:pPr>
        <w:pStyle w:val="ListNumber"/>
        <w:spacing w:line="240" w:lineRule="auto"/>
        <w:ind w:left="720"/>
      </w:pPr>
      <w:r/>
      <w:hyperlink r:id="rId15">
        <w:r>
          <w:rPr>
            <w:color w:val="0000EE"/>
            <w:u w:val="single"/>
          </w:rPr>
          <w:t>https://law.yale.edu/yls-today/news/white-paper-addresses-key-issues-legal-battles-over-gender-affirming-health-care</w:t>
        </w:r>
      </w:hyperlink>
      <w:r>
        <w:t xml:space="preserve"> - Yale Law School introduces a white paper by legal scholars and medical researchers offering a critical assessment of the Cass Review. The authors argue that the review’s conclusions about the evidence for gender-affirming care are not adequately supported, and identify concerns with its treatment of research methods and evidence quality. The page explains that the review has featured in legal and policy debates beyond the United Kingdom, including arguments about healthcare restrictions in the United States. This source provides a contrasting expert perspective to official accounts of the Cass Review and supports the article’s point that the review is contested, rather than universally accepted.</w:t>
      </w:r>
      <w:r/>
    </w:p>
    <w:p>
      <w:pPr>
        <w:pStyle w:val="ListNumber"/>
        <w:spacing w:line="240" w:lineRule="auto"/>
        <w:ind w:left="720"/>
      </w:pPr>
      <w:r/>
      <w:hyperlink r:id="rId10">
        <w:r>
          <w:rPr>
            <w:color w:val="0000EE"/>
            <w:u w:val="single"/>
          </w:rPr>
          <w:t>https://www.williamsinstitute.law.ucla.edu/publications/ma-public-accommodations/</w:t>
        </w:r>
      </w:hyperlink>
      <w:r>
        <w:t xml:space="preserve"> - The Williams Institute examines whether Massachusetts laws protecting gender identity in public accommodations were associated with changes in safety incidents in public facilities. The study compared places with and without such protections, looking at reported crimes including assault, sexual offences, voyeurism and indecent exposure. Its findings did not show an increase in these incidents after protections were adopted. This research is relevant to the article’s example about transgender people’s access to public toilets and the way safety arguments are represented in AI answers. It offers empirical context, while not proving that every setting or individual circumstance is identical.</w:t>
      </w:r>
      <w:r/>
    </w:p>
    <w:p>
      <w:pPr>
        <w:pStyle w:val="ListNumber"/>
        <w:spacing w:line="240" w:lineRule="auto"/>
        <w:ind w:left="720"/>
      </w:pPr>
      <w:r/>
      <w:hyperlink r:id="rId11">
        <w:r>
          <w:rPr>
            <w:color w:val="0000EE"/>
            <w:u w:val="single"/>
          </w:rPr>
          <w:t>https://williamsinstitute.law.ucla.edu/publications/safety-in-restrooms/</w:t>
        </w:r>
      </w:hyperlink>
      <w:r>
        <w:t xml:space="preserve"> - This Williams Institute publication reviews research on safety and privacy in public restrooms and other gendered facilities. It discusses evidence concerning transgender access, crime reports, and the experiences of people who face harassment or barriers when using facilities. The page summarises research finding no measurable rise in reported incidents associated with gender-identity-inclusive protections in the studied settings. It also describes harms experienced by transgender people, including avoiding toilets or public places because facilities feel unsafe. The review is useful context for evaluating competing claims about bathroom access, while recognising that findings from particular studies should not be treated as universal proof.</w:t>
      </w:r>
      <w:r/>
    </w:p>
    <w:p>
      <w:pPr>
        <w:pStyle w:val="ListNumber"/>
        <w:spacing w:line="240" w:lineRule="auto"/>
        <w:ind w:left="720"/>
      </w:pPr>
      <w:r/>
      <w:hyperlink r:id="rId12">
        <w:r>
          <w:rPr>
            <w:color w:val="0000EE"/>
            <w:u w:val="single"/>
          </w:rPr>
          <w:t>https://www.stonewall.org.uk/resources/lgbt-britain-trans-report-2018</w:t>
        </w:r>
      </w:hyperlink>
      <w:r>
        <w:t xml:space="preserve"> - Stonewall presents findings from research with 871 transgender and non-binary people in Britain, conducted with YouGov. The report documents discrimination, harassment and barriers in everyday life, including that nearly half of respondents did not feel comfortable using public toilets because they feared discrimination or harassment. It also covers workplace treatment, hate incidents and access to services. This evidence contributes a perspective focused on transgender people’s reported experiences, complementing research on crime statistics and policy. It is relevant to the article’s discussion of how toilet debates may overlook the safety and wellbeing concerns of trans people themselves.</w:t>
      </w:r>
      <w:r/>
    </w:p>
    <w:p>
      <w:pPr>
        <w:pStyle w:val="ListNumber"/>
        <w:spacing w:line="240" w:lineRule="auto"/>
        <w:ind w:left="720"/>
      </w:pPr>
      <w:r/>
      <w:hyperlink r:id="rId13">
        <w:r>
          <w:rPr>
            <w:color w:val="0000EE"/>
            <w:u w:val="single"/>
          </w:rPr>
          <w:t>https://www.pewresearch.org/short-reads/2025/05/23/google-users-are-less-likely-to-click-on-links-when-an-ai-summary-appears-in-the-results/</w:t>
        </w:r>
      </w:hyperlink>
      <w:r>
        <w:t xml:space="preserve"> - Pew Research Center reports an analysis of online browsing by 900 United States adults, examining Google searches that displayed AI-generated summaries. The study found that users were less likely to click through to external links when an AI summary appeared than when it did not. The findings help explain why the accuracy, framing and sourcing of AI-generated search summaries matter: a summary may satisfy a user without them visiting the underlying sources. The research does not establish that 80% of people rely on AI summaries, but it offers evidence about exposure and click behaviour in a defined sample.</w:t>
      </w:r>
      <w:r/>
    </w:p>
    <w:p>
      <w:pPr>
        <w:pStyle w:val="ListNumber"/>
        <w:spacing w:line="240" w:lineRule="auto"/>
        <w:ind w:left="720"/>
      </w:pPr>
      <w:r/>
      <w:hyperlink r:id="rId14">
        <w:r>
          <w:rPr>
            <w:color w:val="0000EE"/>
            <w:u w:val="single"/>
          </w:rPr>
          <w:t>https://help.openai.com/en/articles/8313428-does-chatgpt-tell-the-truth</w:t>
        </w:r>
      </w:hyperlink>
      <w:r>
        <w:t xml:space="preserve"> - OpenAI’s Help Centre explains that ChatGPT can generate inaccurate information, a problem commonly called hallucination. It advises users to verify important claims and consult sources directly rather than treating fluent responses as guaranteed facts. The guidance is relevant to the article’s wider concern about trust in popular AI systems and the importance of checking the sources behind their answers. It is general guidance about ChatGPT, not a study of trans-related prompts or a validation of QueerAF’s specific findings. Nevertheless, it supports the broader recommendation that AI-generated information should be checked carefully, particularly when accuracy has significant consequences.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earequeeraf.com/understand-the-lgbtqia-news-a-combination-of-biological-psychological-and-social-factors-how-generative-ai-describes-trans-people/" TargetMode="External"/><Relationship Id="rId10" Type="http://schemas.openxmlformats.org/officeDocument/2006/relationships/hyperlink" Target="https://www.williamsinstitute.law.ucla.edu/publications/ma-public-accommodations/" TargetMode="External"/><Relationship Id="rId11" Type="http://schemas.openxmlformats.org/officeDocument/2006/relationships/hyperlink" Target="https://williamsinstitute.law.ucla.edu/publications/safety-in-restrooms/" TargetMode="External"/><Relationship Id="rId12" Type="http://schemas.openxmlformats.org/officeDocument/2006/relationships/hyperlink" Target="https://www.stonewall.org.uk/resources/lgbt-britain-trans-report-2018" TargetMode="External"/><Relationship Id="rId13" Type="http://schemas.openxmlformats.org/officeDocument/2006/relationships/hyperlink" Target="https://www.pewresearch.org/short-reads/2025/05/23/google-users-are-less-likely-to-click-on-links-when-an-ai-summary-appears-in-the-results/" TargetMode="External"/><Relationship Id="rId14" Type="http://schemas.openxmlformats.org/officeDocument/2006/relationships/hyperlink" Target="https://help.openai.com/en/articles/8313428-does-chatgpt-tell-the-truth" TargetMode="External"/><Relationship Id="rId15" Type="http://schemas.openxmlformats.org/officeDocument/2006/relationships/hyperlink" Target="https://law.yale.edu/yls-today/news/white-paper-addresses-key-issues-legal-battles-over-gender-affirming-health-car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