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Donna Hitchens and the Lesbian Rights Project’s Lasting Legacy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 law student with a small grant and a clear sense of what was missing helped build a national force for LGBTQ legal rights. Donna Hitchens founded the Lesbian Rights Project in 1977, then became the first openly lesbian person elected to a judgeship in the United States. Her story shows how focused community advocacy can grow into lasting change.</w:t>
      </w:r>
      <w:r/>
    </w:p>
    <w:p>
      <w:pPr>
        <w:pStyle w:val="Heading2"/>
      </w:pPr>
      <w:r>
        <w:t>A $7,500 grant helped launch a new legal project</w:t>
      </w:r>
      <w:r/>
    </w:p>
    <w:p>
      <w:r/>
      <w:r>
        <w:t xml:space="preserve">When Donna Hitchens began the Lesbian Rights Project in 1977, she saw a gap in the legal support available to LGBTQ people. Existing public-interest firms were challenging the criminalisation of gay people, but lesbian mothers facing custody and visitation disputes were getting far less attention. Hitchens wanted to take on those cases directly. </w:t>
      </w:r>
      <w:hyperlink r:id="rId9">
        <w:r>
          <w:rPr>
            <w:color w:val="0000EE"/>
            <w:u w:val="single"/>
          </w:rPr>
          <w:t>[2]</w:t>
        </w:r>
      </w:hyperlink>
      <w:r>
        <w:t xml:space="preserve">, </w:t>
      </w:r>
      <w:hyperlink r:id="rId10">
        <w:r>
          <w:rPr>
            <w:color w:val="0000EE"/>
            <w:u w:val="single"/>
          </w:rPr>
          <w:t>[3]</w:t>
        </w:r>
      </w:hyperlink>
      <w:r/>
    </w:p>
    <w:p>
      <w:r/>
      <w:r>
        <w:t xml:space="preserve">She secured a $7,500 grant during her final year of law school. After passing the bar, she opened the project as part of Equal Rights Advocates, a San Francisco law firm focused on sex discrimination. It was a modest start, but the need was anything but small. </w:t>
      </w:r>
      <w:hyperlink r:id="rId9">
        <w:r>
          <w:rPr>
            <w:color w:val="0000EE"/>
            <w:u w:val="single"/>
          </w:rPr>
          <w:t>[2]</w:t>
        </w:r>
      </w:hyperlink>
      <w:r>
        <w:t xml:space="preserve">, </w:t>
      </w:r>
      <w:hyperlink r:id="rId11">
        <w:r>
          <w:rPr>
            <w:color w:val="0000EE"/>
            <w:u w:val="single"/>
          </w:rPr>
          <w:t>[5]</w:t>
        </w:r>
      </w:hyperlink>
      <w:r/>
    </w:p>
    <w:p>
      <w:pPr>
        <w:pStyle w:val="Heading2"/>
      </w:pPr>
      <w:r>
        <w:t>From a small team to a national network</w:t>
      </w:r>
      <w:r/>
    </w:p>
    <w:p>
      <w:r/>
      <w:r>
        <w:t xml:space="preserve">The project grew with support from people who shared its purpose. Hitchens brought Roberta Achtenberg on board, and the organisation began responding to requests from across the country. A practical tool helped spread its work: Hitchens wrote a litigation manual on lesbian mothers’ rights for advocates handling cases in other states. </w:t>
      </w:r>
      <w:hyperlink r:id="rId9">
        <w:r>
          <w:rPr>
            <w:color w:val="0000EE"/>
            <w:u w:val="single"/>
          </w:rPr>
          <w:t>[2]</w:t>
        </w:r>
      </w:hyperlink>
      <w:r>
        <w:t xml:space="preserve">, </w:t>
      </w:r>
      <w:hyperlink r:id="rId10">
        <w:r>
          <w:rPr>
            <w:color w:val="0000EE"/>
            <w:u w:val="single"/>
          </w:rPr>
          <w:t>[3]</w:t>
        </w:r>
      </w:hyperlink>
      <w:r/>
    </w:p>
    <w:p>
      <w:r/>
      <w:r>
        <w:t xml:space="preserve">That growth eventually carried the organisation beyond its original name and local roots. The National Center for LGBTQ Rights now works on legal issues affecting LGBTQ communities nationally, building on the advocacy and expertise developed in the project’s early years. </w:t>
      </w:r>
      <w:hyperlink r:id="rId9">
        <w:r>
          <w:rPr>
            <w:color w:val="0000EE"/>
            <w:u w:val="single"/>
          </w:rPr>
          <w:t>[2]</w:t>
        </w:r>
      </w:hyperlink>
      <w:r>
        <w:t xml:space="preserve">, </w:t>
      </w:r>
      <w:hyperlink r:id="rId10">
        <w:r>
          <w:rPr>
            <w:color w:val="0000EE"/>
            <w:u w:val="single"/>
          </w:rPr>
          <w:t>[3]</w:t>
        </w:r>
      </w:hyperlink>
      <w:r/>
    </w:p>
    <w:p>
      <w:pPr>
        <w:pStyle w:val="Heading2"/>
      </w:pPr>
      <w:r>
        <w:t>Hitchens broke new ground on the bench</w:t>
      </w:r>
      <w:r/>
    </w:p>
    <w:p>
      <w:r/>
      <w:r>
        <w:t xml:space="preserve">Her influence extended beyond legal advocacy. Hitchens became the first openly lesbian person elected to a judgeship in the United States, a milestone that placed LGBTQ representation in public office firmly in view. Her career connected courtroom experience with the wider push for equal treatment under the law. </w:t>
      </w:r>
      <w:hyperlink r:id="rId9">
        <w:r>
          <w:rPr>
            <w:color w:val="0000EE"/>
            <w:u w:val="single"/>
          </w:rPr>
          <w:t>[2]</w:t>
        </w:r>
      </w:hyperlink>
      <w:r>
        <w:t xml:space="preserve">, </w:t>
      </w:r>
      <w:hyperlink r:id="rId12">
        <w:r>
          <w:rPr>
            <w:color w:val="0000EE"/>
            <w:u w:val="single"/>
          </w:rPr>
          <w:t>[4]</w:t>
        </w:r>
      </w:hyperlink>
      <w:r/>
    </w:p>
    <w:p>
      <w:r/>
      <w:r>
        <w:t xml:space="preserve">Her election came amid a broader period of increased visibility for openly gay candidates. Contemporary reporting noted that more were winning elections, while Hitchens’ achievement stood out as a landmark for LGBTQ representation in the judiciary. </w:t>
      </w:r>
      <w:hyperlink r:id="rId13">
        <w:r>
          <w:rPr>
            <w:color w:val="0000EE"/>
            <w:u w:val="single"/>
          </w:rPr>
          <w:t>[6]</w:t>
        </w:r>
      </w:hyperlink>
      <w:r>
        <w:t xml:space="preserve">, </w:t>
      </w:r>
      <w:hyperlink r:id="rId14">
        <w:r>
          <w:rPr>
            <w:color w:val="0000EE"/>
            <w:u w:val="single"/>
          </w:rPr>
          <w:t>[7]</w:t>
        </w:r>
      </w:hyperlink>
      <w:r/>
    </w:p>
    <w:p>
      <w:pPr>
        <w:pStyle w:val="Heading2"/>
      </w:pPr>
      <w:r>
        <w:t>Why this history still matters</w:t>
      </w:r>
      <w:r/>
    </w:p>
    <w:p>
      <w:r/>
      <w:r>
        <w:t xml:space="preserve">The Lesbian Rights Project began by addressing a specific, overlooked problem: the way sexual orientation could affect a mother’s chance of keeping custody or seeing her children. That focused approach offers a useful lesson for advocacy today. A broad goal matters, but practical support for people facing an immediate legal challenge can make it real. </w:t>
      </w:r>
      <w:hyperlink r:id="rId9">
        <w:r>
          <w:rPr>
            <w:color w:val="0000EE"/>
            <w:u w:val="single"/>
          </w:rPr>
          <w:t>[2]</w:t>
        </w:r>
      </w:hyperlink>
      <w:r>
        <w:t xml:space="preserve">, </w:t>
      </w:r>
      <w:hyperlink r:id="rId10">
        <w:r>
          <w:rPr>
            <w:color w:val="0000EE"/>
            <w:u w:val="single"/>
          </w:rPr>
          <w:t>[3]</w:t>
        </w:r>
      </w:hyperlink>
      <w:r/>
    </w:p>
    <w:p>
      <w:r/>
      <w:r>
        <w:t xml:space="preserve">The work also depended on more than one person. Hitchens had institutional backing from Equal Rights Advocates, colleagues who helped extend the project’s reach, and a network of advocates able to use its resources. Lasting change often looks less like a solo triumph and more like a community building something together. </w:t>
      </w:r>
      <w:hyperlink r:id="rId9">
        <w:r>
          <w:rPr>
            <w:color w:val="0000EE"/>
            <w:u w:val="single"/>
          </w:rPr>
          <w:t>[2]</w:t>
        </w:r>
      </w:hyperlink>
      <w:r>
        <w:t xml:space="preserve">, </w:t>
      </w:r>
      <w:hyperlink r:id="rId10">
        <w:r>
          <w:rPr>
            <w:color w:val="0000EE"/>
            <w:u w:val="single"/>
          </w:rPr>
          <w:t>[3]</w:t>
        </w:r>
      </w:hyperlink>
      <w:r>
        <w:t xml:space="preserve">, </w:t>
      </w:r>
      <w:hyperlink r:id="rId11">
        <w:r>
          <w:rPr>
            <w:color w:val="0000EE"/>
            <w:u w:val="single"/>
          </w:rPr>
          <w:t>[5]</w:t>
        </w:r>
      </w:hyperlink>
      <w:r/>
    </w:p>
    <w:p>
      <w:pPr>
        <w:pStyle w:val="Heading2"/>
      </w:pPr>
      <w:r>
        <w:t>A pioneering story with a continuing legacy</w:t>
      </w:r>
      <w:r/>
    </w:p>
    <w:p>
      <w:r/>
      <w:r>
        <w:t xml:space="preserve">Hitchens’ path from law student to elected judge captures a significant chapter in LGBTQ legal history. The organisation she helped establish grew from a project responding to lesbian mothers’ needs into a national rights centre, while her election opened a door that had previously been closed. </w:t>
      </w:r>
      <w:hyperlink r:id="rId9">
        <w:r>
          <w:rPr>
            <w:color w:val="0000EE"/>
            <w:u w:val="single"/>
          </w:rPr>
          <w:t>[2]</w:t>
        </w:r>
      </w:hyperlink>
      <w:r>
        <w:t xml:space="preserve">, </w:t>
      </w:r>
      <w:hyperlink r:id="rId10">
        <w:r>
          <w:rPr>
            <w:color w:val="0000EE"/>
            <w:u w:val="single"/>
          </w:rPr>
          <w:t>[3]</w:t>
        </w:r>
      </w:hyperlink>
      <w:r>
        <w:t xml:space="preserve">, </w:t>
      </w:r>
      <w:hyperlink r:id="rId12">
        <w:r>
          <w:rPr>
            <w:color w:val="0000EE"/>
            <w:u w:val="single"/>
          </w:rPr>
          <w:t>[4]</w:t>
        </w:r>
      </w:hyperlink>
      <w:r/>
    </w:p>
    <w:p>
      <w:r/>
      <w:r>
        <w:t xml:space="preserve">For LGBTQ History Month, her story is a reminder that progress can begin with a clear-eyed look at who is being left out. Sometimes, the first step is simply deciding that their case deserves to be heard. </w:t>
      </w:r>
      <w:hyperlink r:id="rId9">
        <w:r>
          <w:rPr>
            <w:color w:val="0000EE"/>
            <w:u w:val="single"/>
          </w:rPr>
          <w:t>[2]</w:t>
        </w:r>
      </w:hyperlink>
      <w:r>
        <w:t xml:space="preserve">, </w:t>
      </w:r>
      <w:hyperlink r:id="rId12">
        <w:r>
          <w:rPr>
            <w:color w:val="0000EE"/>
            <w:u w:val="single"/>
          </w:rPr>
          <w:t>[4]</w:t>
        </w:r>
      </w:hyperlink>
      <w:r/>
    </w:p>
    <w:p>
      <w:r/>
      <w:r>
        <w:t>A small project, a determined community and a landmark career helped change the legal landscape.</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9">
        <w:r>
          <w:rPr>
            <w:color w:val="0000EE"/>
            <w:u w:val="single"/>
          </w:rPr>
          <w:t>[2]</w:t>
        </w:r>
      </w:hyperlink>
      <w:r>
        <w:t xml:space="preserve">, </w:t>
      </w:r>
      <w:hyperlink r:id="rId11">
        <w:r>
          <w:rPr>
            <w:color w:val="0000EE"/>
            <w:u w:val="single"/>
          </w:rPr>
          <w:t>[5]</w:t>
        </w:r>
      </w:hyperlink>
      <w:r>
        <w:t xml:space="preserve">- Paragraph 3: </w:t>
      </w:r>
      <w:hyperlink r:id="rId9">
        <w:r>
          <w:rPr>
            <w:color w:val="0000EE"/>
            <w:u w:val="single"/>
          </w:rPr>
          <w:t>[2]</w:t>
        </w:r>
      </w:hyperlink>
      <w:r>
        <w:t xml:space="preserve">, </w:t>
      </w:r>
      <w:hyperlink r:id="rId10">
        <w:r>
          <w:rPr>
            <w:color w:val="0000EE"/>
            <w:u w:val="single"/>
          </w:rPr>
          <w:t>[3]</w:t>
        </w:r>
      </w:hyperlink>
      <w:r>
        <w:t xml:space="preserve">- Paragraph 4: </w:t>
      </w:r>
      <w:hyperlink r:id="rId9">
        <w:r>
          <w:rPr>
            <w:color w:val="0000EE"/>
            <w:u w:val="single"/>
          </w:rPr>
          <w:t>[2]</w:t>
        </w:r>
      </w:hyperlink>
      <w:r>
        <w:t xml:space="preserve">, </w:t>
      </w:r>
      <w:hyperlink r:id="rId10">
        <w:r>
          <w:rPr>
            <w:color w:val="0000EE"/>
            <w:u w:val="single"/>
          </w:rPr>
          <w:t>[3]</w:t>
        </w:r>
      </w:hyperlink>
      <w:r>
        <w:t xml:space="preserve">- Paragraph 5: </w:t>
      </w:r>
      <w:hyperlink r:id="rId9">
        <w:r>
          <w:rPr>
            <w:color w:val="0000EE"/>
            <w:u w:val="single"/>
          </w:rPr>
          <w:t>[2]</w:t>
        </w:r>
      </w:hyperlink>
      <w:r>
        <w:t xml:space="preserve">, </w:t>
      </w:r>
      <w:hyperlink r:id="rId12">
        <w:r>
          <w:rPr>
            <w:color w:val="0000EE"/>
            <w:u w:val="single"/>
          </w:rPr>
          <w:t>[4]</w:t>
        </w:r>
      </w:hyperlink>
      <w:r>
        <w:t xml:space="preserve">- Paragraph 6: </w:t>
      </w:r>
      <w:hyperlink r:id="rId13">
        <w:r>
          <w:rPr>
            <w:color w:val="0000EE"/>
            <w:u w:val="single"/>
          </w:rPr>
          <w:t>[6]</w:t>
        </w:r>
      </w:hyperlink>
      <w:r>
        <w:t xml:space="preserve">, </w:t>
      </w:r>
      <w:hyperlink r:id="rId14">
        <w:r>
          <w:rPr>
            <w:color w:val="0000EE"/>
            <w:u w:val="single"/>
          </w:rPr>
          <w:t>[7]</w:t>
        </w:r>
      </w:hyperlink>
      <w:r>
        <w:t xml:space="preserve">- Paragraph 7: </w:t>
      </w:r>
      <w:hyperlink r:id="rId9">
        <w:r>
          <w:rPr>
            <w:color w:val="0000EE"/>
            <w:u w:val="single"/>
          </w:rPr>
          <w:t>[2]</w:t>
        </w:r>
      </w:hyperlink>
      <w:r>
        <w:t xml:space="preserve">, </w:t>
      </w:r>
      <w:hyperlink r:id="rId10">
        <w:r>
          <w:rPr>
            <w:color w:val="0000EE"/>
            <w:u w:val="single"/>
          </w:rPr>
          <w:t>[3]</w:t>
        </w:r>
      </w:hyperlink>
      <w:r>
        <w:t xml:space="preserve">- Paragraph 8: </w:t>
      </w:r>
      <w:hyperlink r:id="rId9">
        <w:r>
          <w:rPr>
            <w:color w:val="0000EE"/>
            <w:u w:val="single"/>
          </w:rPr>
          <w:t>[2]</w:t>
        </w:r>
      </w:hyperlink>
      <w:r>
        <w:t xml:space="preserve">, </w:t>
      </w:r>
      <w:hyperlink r:id="rId10">
        <w:r>
          <w:rPr>
            <w:color w:val="0000EE"/>
            <w:u w:val="single"/>
          </w:rPr>
          <w:t>[3]</w:t>
        </w:r>
      </w:hyperlink>
      <w:r>
        <w:t xml:space="preserve">, </w:t>
      </w:r>
      <w:hyperlink r:id="rId11">
        <w:r>
          <w:rPr>
            <w:color w:val="0000EE"/>
            <w:u w:val="single"/>
          </w:rPr>
          <w:t>[5]</w:t>
        </w:r>
      </w:hyperlink>
      <w:r>
        <w:t xml:space="preserve">- Paragraph 9: </w:t>
      </w:r>
      <w:hyperlink r:id="rId9">
        <w:r>
          <w:rPr>
            <w:color w:val="0000EE"/>
            <w:u w:val="single"/>
          </w:rPr>
          <w:t>[2]</w:t>
        </w:r>
      </w:hyperlink>
      <w:r>
        <w:t xml:space="preserve">, </w:t>
      </w:r>
      <w:hyperlink r:id="rId10">
        <w:r>
          <w:rPr>
            <w:color w:val="0000EE"/>
            <w:u w:val="single"/>
          </w:rPr>
          <w:t>[3]</w:t>
        </w:r>
      </w:hyperlink>
      <w:r>
        <w:t xml:space="preserve">, </w:t>
      </w:r>
      <w:hyperlink r:id="rId12">
        <w:r>
          <w:rPr>
            <w:color w:val="0000EE"/>
            <w:u w:val="single"/>
          </w:rPr>
          <w:t>[4]</w:t>
        </w:r>
      </w:hyperlink>
      <w:r>
        <w:t xml:space="preserve">- Paragraph 10: </w:t>
      </w:r>
      <w:hyperlink r:id="rId9">
        <w:r>
          <w:rPr>
            <w:color w:val="0000EE"/>
            <w:u w:val="single"/>
          </w:rPr>
          <w:t>[2]</w:t>
        </w:r>
      </w:hyperlink>
      <w:r>
        <w:t xml:space="preserve">, </w:t>
      </w:r>
      <w:hyperlink r:id="rId12">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https://meaws.com/news/lgbtq-history-month-donna-hitchens/105906</w:t>
        </w:r>
      </w:hyperlink>
      <w:r>
        <w:t xml:space="preserve"> - Please view link - unable to able to access data</w:t>
      </w:r>
      <w:r/>
    </w:p>
    <w:p>
      <w:pPr>
        <w:pStyle w:val="ListNumber"/>
        <w:spacing w:line="240" w:lineRule="auto"/>
        <w:ind w:left="720"/>
      </w:pPr>
      <w:r/>
      <w:hyperlink r:id="rId9">
        <w:r>
          <w:rPr>
            <w:color w:val="0000EE"/>
            <w:u w:val="single"/>
          </w:rPr>
          <w:t>https://www.nclrights.org/lgbtq-history-month-donna-hitchens/</w:t>
        </w:r>
      </w:hyperlink>
      <w:r>
        <w:t xml:space="preserve"> - The National Center for LGBTQ Rights’ interview recounts Donna Hitchens’s founding of the Lesbian Rights Project while she was in law school. She explains that existing public-interest legal groups concentrated on anti-sodomy cases, leaving lesbian mothers’ custody and visitation problems largely unaddressed. With an initial grant of $7,500, she opened the project as part of Equal Rights Advocates. Hitchens describes the project’s growth, the contribution of Roberta Achtenberg, and the litigation manual circulated to advocates in other states. She also discusses her coming out, friendships and community, election to the San Francisco bench, family life, and decades of service as a judge.</w:t>
      </w:r>
      <w:r/>
    </w:p>
    <w:p>
      <w:pPr>
        <w:pStyle w:val="ListNumber"/>
        <w:spacing w:line="240" w:lineRule="auto"/>
        <w:ind w:left="720"/>
      </w:pPr>
      <w:r/>
      <w:hyperlink r:id="rId10">
        <w:r>
          <w:rPr>
            <w:color w:val="0000EE"/>
            <w:u w:val="single"/>
          </w:rPr>
          <w:t>https://www.nclrights.org/about-us/mission-history/founders-bio/</w:t>
        </w:r>
      </w:hyperlink>
      <w:r>
        <w:t xml:space="preserve"> - This biography traces Donna Hitchens’s work as a lawyer, founder and judge. After graduating from UC Berkeley’s law school in 1977, she established the Lesbian Rights Project with support from Equal Rights Advocates. The project focused on legal problems affecting lesbians, including custody, adoption, public accommodation and employment, and later broadened its work. In 1988 it became independent and was renamed the National Center for Lesbian Rights. Hitchens was elected to the San Francisco Superior Court in 1990 and served for 20 years, working across several court divisions. The account also describes her efforts to improve family-court services and access to justice.</w:t>
      </w:r>
      <w:r/>
    </w:p>
    <w:p>
      <w:pPr>
        <w:pStyle w:val="ListNumber"/>
        <w:spacing w:line="240" w:lineRule="auto"/>
        <w:ind w:left="720"/>
      </w:pPr>
      <w:r/>
      <w:hyperlink r:id="rId12">
        <w:r>
          <w:rPr>
            <w:color w:val="0000EE"/>
            <w:u w:val="single"/>
          </w:rPr>
          <w:t>https://alumni.berkeley.edu/donna-hitchens/</w:t>
        </w:r>
      </w:hyperlink>
      <w:r>
        <w:t xml:space="preserve"> - The UC Berkeley alumni profile describes Hitchens’s path from counselling and civil-rights activism to law school and public-interest legal work. It recounts how an incident involving victim-blaming at the University of Maine influenced her decision to pursue law. After graduating from Berkeley Law, she worked to establish the Lesbian Rights Project, which addressed discrimination and family, employment and housing issues affecting lesbians. The profile explains its later transformation into a national LGBTQ-focused organisation. It also recounts how Hitchens was encouraged to run for the San Francisco Superior Court, defeated an incumbent in 1990, and helped create a unified family court serving families facing overlapping legal matters.</w:t>
      </w:r>
      <w:r/>
    </w:p>
    <w:p>
      <w:pPr>
        <w:pStyle w:val="ListNumber"/>
        <w:spacing w:line="240" w:lineRule="auto"/>
        <w:ind w:left="720"/>
      </w:pPr>
      <w:r/>
      <w:hyperlink r:id="rId11">
        <w:r>
          <w:rPr>
            <w:color w:val="0000EE"/>
            <w:u w:val="single"/>
          </w:rPr>
          <w:t>https://www.equalrights.org/issue/50th-anniversary/our-history/</w:t>
        </w:r>
      </w:hyperlink>
      <w:r>
        <w:t xml:space="preserve"> - Equal Rights Advocates’ historical timeline places the Lesbian Rights Project within the organisation’s broader campaign for gender equality. It records the project’s launch as a national initiative to defend lesbian workers and families and notes that it later became the National Center for Lesbian Rights. The timeline also describes other ERA campaigns, including challenges to discriminatory rules in sport, employment and education. This source supports the article’s account of the project’s connection to Equal Rights Advocates and its early focus on legal protection for lesbian women and families. It provides organisational context for how a focused project developed into a separate national legal-rights centre.</w:t>
      </w:r>
      <w:r/>
    </w:p>
    <w:p>
      <w:pPr>
        <w:pStyle w:val="ListNumber"/>
        <w:spacing w:line="240" w:lineRule="auto"/>
        <w:ind w:left="720"/>
      </w:pPr>
      <w:r/>
      <w:hyperlink r:id="rId13">
        <w:r>
          <w:rPr>
            <w:color w:val="0000EE"/>
            <w:u w:val="single"/>
          </w:rPr>
          <w:t>https://www.washingtonpost.com/archive/politics/1991/03/12/openly-gay-candidates-winning-more-elections/0f163b00-6750-4fe3-bcd0-852e285ab7c5/</w:t>
        </w:r>
      </w:hyperlink>
      <w:r>
        <w:t xml:space="preserve"> - This contemporaneous Washington Post report covers the increasing election of openly gay candidates in the United States and documents Donna Hitchens’s 1990 victory in San Francisco. It describes her as a lesbian civil-rights lawyer who defeated an incumbent Superior Court judge in a countywide election, a notable first for the city. The article places her win amid broader gains by openly gay candidates in local and state politics, and quotes Hitchens reflecting on changing public attitudes and years of organising. Its reporting helps substantiate the account of her election and the historical significance of her arrival on the bench.</w:t>
      </w:r>
      <w:r/>
    </w:p>
    <w:p>
      <w:pPr>
        <w:pStyle w:val="ListNumber"/>
        <w:spacing w:line="240" w:lineRule="auto"/>
        <w:ind w:left="720"/>
      </w:pPr>
      <w:r/>
      <w:hyperlink r:id="rId14">
        <w:r>
          <w:rPr>
            <w:color w:val="0000EE"/>
            <w:u w:val="single"/>
          </w:rPr>
          <w:t>https://archive.calbar.ca.gov/archive/calbar/2cbj/02feb/page18-1.htm</w:t>
        </w:r>
      </w:hyperlink>
      <w:r>
        <w:t xml:space="preserve"> - The State Bar of California’s profile focuses on Judge Donna Hitchens’s work in San Francisco’s unified family court. It describes practical measures designed to help children and families through difficult proceedings, including giving young witnesses teddy bears, supporting services for families affected by violence, and creating specialised approaches for youth and dependency cases. The piece portrays Hitchens as a judge whose initiatives shaped the court’s work and improved access to assistance. While it is not primarily a biography of her LGBTQ-rights activism, it supports the article’s account of her judicial career and illustrates the family-focused approach that connected with her earlier legal work.</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nclrights.org/lgbtq-history-month-donna-hitchens/" TargetMode="External"/><Relationship Id="rId10" Type="http://schemas.openxmlformats.org/officeDocument/2006/relationships/hyperlink" Target="https://www.nclrights.org/about-us/mission-history/founders-bio/" TargetMode="External"/><Relationship Id="rId11" Type="http://schemas.openxmlformats.org/officeDocument/2006/relationships/hyperlink" Target="https://www.equalrights.org/issue/50th-anniversary/our-history/" TargetMode="External"/><Relationship Id="rId12" Type="http://schemas.openxmlformats.org/officeDocument/2006/relationships/hyperlink" Target="https://alumni.berkeley.edu/donna-hitchens/" TargetMode="External"/><Relationship Id="rId13" Type="http://schemas.openxmlformats.org/officeDocument/2006/relationships/hyperlink" Target="https://www.washingtonpost.com/archive/politics/1991/03/12/openly-gay-candidates-winning-more-elections/0f163b00-6750-4fe3-bcd0-852e285ab7c5/" TargetMode="External"/><Relationship Id="rId14" Type="http://schemas.openxmlformats.org/officeDocument/2006/relationships/hyperlink" Target="https://archive.calbar.ca.gov/archive/calbar/2cbj/02feb/page18-1.htm" TargetMode="External"/><Relationship Id="rId15" Type="http://schemas.openxmlformats.org/officeDocument/2006/relationships/hyperlink" Target="https://meaws.com/news/lgbtq-history-month-donna-hitchens/10590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