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Taiwan’s Rights Debate Matters Beyond Party Politics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 public argument in Taiwan over LGBTQ+ rights and a police raid on a Taipei gay bar has reopened a bigger question: can people defend freedoms that aren’t their own? The controversy, and entertainer Kevin Tsai’s decision to speak out, offer a timely reminder that civil rights matter well beyond party lines, especially to young people who deserve to live without fear or stigma.</w:t>
      </w:r>
      <w:r/>
    </w:p>
    <w:p>
      <w:pPr>
        <w:pStyle w:val="Heading2"/>
      </w:pPr>
      <w:r>
        <w:t>A bar raid sparked a wider conversation</w:t>
      </w:r>
      <w:r/>
    </w:p>
    <w:p>
      <w:r/>
      <w:r>
        <w:t xml:space="preserve">The dispute began after Taipei police raided Commander D, a gay bar in the Ximending district, on 3 October. The operation drew criticism and prompted questions about how the authorities treat LGBTQ+ people and venues. For many, the concern wasn’t only about one bar, but about the possibility of old patterns of discrimination returning. </w:t>
      </w:r>
      <w:hyperlink r:id="rId9">
        <w:r>
          <w:rPr>
            <w:color w:val="0000EE"/>
            <w:u w:val="single"/>
          </w:rPr>
          <w:t>[4]</w:t>
        </w:r>
      </w:hyperlink>
      <w:r>
        <w:t xml:space="preserve">, </w:t>
      </w:r>
      <w:hyperlink r:id="rId10">
        <w:r>
          <w:rPr>
            <w:color w:val="0000EE"/>
            <w:u w:val="single"/>
          </w:rPr>
          <w:t>[5]</w:t>
        </w:r>
      </w:hyperlink>
      <w:r/>
    </w:p>
    <w:p>
      <w:r/>
      <w:r>
        <w:t xml:space="preserve">Tsai’s public stance has also attracted criticism, with some commentators interpreting his appearances at political events as a straightforward declaration of party allegiance. But he has pointed to LGBTQ+ rights as a reason for speaking up, while appearing at campaign events associated with politicians from different camps. That makes the issue harder to reduce to a simple party label. </w:t>
      </w:r>
      <w:hyperlink r:id="rId11">
        <w:r>
          <w:rPr>
            <w:color w:val="0000EE"/>
            <w:u w:val="single"/>
          </w:rPr>
          <w:t>[2]</w:t>
        </w:r>
      </w:hyperlink>
      <w:r>
        <w:t xml:space="preserve">, </w:t>
      </w:r>
      <w:hyperlink r:id="rId12">
        <w:r>
          <w:rPr>
            <w:color w:val="0000EE"/>
            <w:u w:val="single"/>
          </w:rPr>
          <w:t>[3]</w:t>
        </w:r>
      </w:hyperlink>
      <w:r/>
    </w:p>
    <w:p>
      <w:pPr>
        <w:pStyle w:val="Heading2"/>
      </w:pPr>
      <w:r>
        <w:t>Rights aren’t reserved for people directly affected</w:t>
      </w:r>
      <w:r/>
    </w:p>
    <w:p>
      <w:r/>
      <w:r>
        <w:t xml:space="preserve">The central point is easy to lose in partisan argument: defending someone else’s rights doesn’t require sharing their identity or political views. People can support equal treatment for gay and lesbian citizens because they believe everyone should be free to build a life without discrimination. That principle applies just as readily to gender equality, poverty or opposition to political repression. </w:t>
      </w:r>
      <w:hyperlink r:id="rId11">
        <w:r>
          <w:rPr>
            <w:color w:val="0000EE"/>
            <w:u w:val="single"/>
          </w:rPr>
          <w:t>[2]</w:t>
        </w:r>
      </w:hyperlink>
      <w:r>
        <w:t xml:space="preserve">, </w:t>
      </w:r>
      <w:hyperlink r:id="rId13">
        <w:r>
          <w:rPr>
            <w:color w:val="0000EE"/>
            <w:u w:val="single"/>
          </w:rPr>
          <w:t>[6]</w:t>
        </w:r>
      </w:hyperlink>
      <w:r/>
    </w:p>
    <w:p>
      <w:r/>
      <w:r>
        <w:t xml:space="preserve">Taiwan legalised same-sex marriage in 2019, after years of public debate and campaigning. The change was a major milestone, but legal recognition doesn’t automatically remove stigma or guarantee that rights will never be challenged. Progress depends, in part, on whether people continue to care when the issue affects someone else. </w:t>
      </w:r>
      <w:hyperlink r:id="rId11">
        <w:r>
          <w:rPr>
            <w:color w:val="0000EE"/>
            <w:u w:val="single"/>
          </w:rPr>
          <w:t>[2]</w:t>
        </w:r>
      </w:hyperlink>
      <w:r>
        <w:t xml:space="preserve">, </w:t>
      </w:r>
      <w:hyperlink r:id="rId13">
        <w:r>
          <w:rPr>
            <w:color w:val="0000EE"/>
            <w:u w:val="single"/>
          </w:rPr>
          <w:t>[6]</w:t>
        </w:r>
      </w:hyperlink>
      <w:r/>
    </w:p>
    <w:p>
      <w:pPr>
        <w:pStyle w:val="Heading2"/>
      </w:pPr>
      <w:r>
        <w:t>What makes a free society feel real?</w:t>
      </w:r>
      <w:r/>
    </w:p>
    <w:p>
      <w:r/>
      <w:r>
        <w:t xml:space="preserve">Freedom is more than the ability to make personal choices. It also means allowing other people to make choices we might not understand or would never make ourselves. In practice, that calls for public institutions and communities to protect people from fear and discrimination, not simply to celebrate rights when they benefit us personally. </w:t>
      </w:r>
      <w:hyperlink r:id="rId11">
        <w:r>
          <w:rPr>
            <w:color w:val="0000EE"/>
            <w:u w:val="single"/>
          </w:rPr>
          <w:t>[2]</w:t>
        </w:r>
      </w:hyperlink>
      <w:r>
        <w:t xml:space="preserve">, </w:t>
      </w:r>
      <w:hyperlink r:id="rId13">
        <w:r>
          <w:rPr>
            <w:color w:val="0000EE"/>
            <w:u w:val="single"/>
          </w:rPr>
          <w:t>[6]</w:t>
        </w:r>
      </w:hyperlink>
      <w:r/>
    </w:p>
    <w:p>
      <w:r/>
      <w:r>
        <w:t xml:space="preserve">That idea connects with philosopher Bertrand Russell’s image of life as a river, moving from a narrow, self-focused stream towards a wider current that joins the sea. In his essay “How to Grow Old”, Russell argued that looking beyond the self can soften the fear of death: the causes and concerns we care about can continue after we do. </w:t>
      </w:r>
      <w:hyperlink r:id="rId11">
        <w:r>
          <w:rPr>
            <w:color w:val="0000EE"/>
            <w:u w:val="single"/>
          </w:rPr>
          <w:t>[2]</w:t>
        </w:r>
      </w:hyperlink>
      <w:r>
        <w:t xml:space="preserve">, </w:t>
      </w:r>
      <w:hyperlink r:id="rId14">
        <w:r>
          <w:rPr>
            <w:color w:val="0000EE"/>
            <w:u w:val="single"/>
          </w:rPr>
          <w:t>[7]</w:t>
        </w:r>
      </w:hyperlink>
      <w:r/>
    </w:p>
    <w:p>
      <w:pPr>
        <w:pStyle w:val="Heading2"/>
      </w:pPr>
      <w:r>
        <w:t>Speaking out can carry a real cost</w:t>
      </w:r>
      <w:r/>
    </w:p>
    <w:p>
      <w:r/>
      <w:r>
        <w:t xml:space="preserve">The article argues that Tsai has faced professional and commercial consequences after entering a heated political debate. His choice, it suggests, is significant not because public figures are always right, but because he appears willing to accept personal costs for values he considers important. That distinction matters: courage can be worth recognising without treating any individual as beyond criticism. </w:t>
      </w:r>
      <w:hyperlink r:id="rId11">
        <w:r>
          <w:rPr>
            <w:color w:val="0000EE"/>
            <w:u w:val="single"/>
          </w:rPr>
          <w:t>[2]</w:t>
        </w:r>
      </w:hyperlink>
      <w:r>
        <w:t xml:space="preserve">, </w:t>
      </w:r>
      <w:hyperlink r:id="rId12">
        <w:r>
          <w:rPr>
            <w:color w:val="0000EE"/>
            <w:u w:val="single"/>
          </w:rPr>
          <w:t>[3]</w:t>
        </w:r>
      </w:hyperlink>
      <w:r/>
    </w:p>
    <w:p>
      <w:r/>
      <w:r>
        <w:t xml:space="preserve">Nor does everyone need to take the same public route. Some people speak at rallies; others support community groups, challenge a discriminatory remark or simply make clear that harassment isn’t acceptable. A society’s rights culture is built through both visible gestures and the quieter choices people make in everyday life. </w:t>
      </w:r>
      <w:hyperlink r:id="rId11">
        <w:r>
          <w:rPr>
            <w:color w:val="0000EE"/>
            <w:u w:val="single"/>
          </w:rPr>
          <w:t>[2]</w:t>
        </w:r>
      </w:hyperlink>
      <w:r>
        <w:t xml:space="preserve">, </w:t>
      </w:r>
      <w:hyperlink r:id="rId13">
        <w:r>
          <w:rPr>
            <w:color w:val="0000EE"/>
            <w:u w:val="single"/>
          </w:rPr>
          <w:t>[6]</w:t>
        </w:r>
      </w:hyperlink>
      <w:r/>
    </w:p>
    <w:p>
      <w:pPr>
        <w:pStyle w:val="Heading2"/>
      </w:pPr>
      <w:r>
        <w:t>The next generation inherits today’s decisions</w:t>
      </w:r>
      <w:r/>
    </w:p>
    <w:p>
      <w:r/>
      <w:r>
        <w:t xml:space="preserve">Rights that now seem ordinary were won through sustained effort, from Taiwan’s democratisation to the campaign for marriage equality. Their continued protection isn’t automatic, so each generation has to decide what kind of society it wants to pass on. For teenagers and young adults, that can mean the difference between growing up with dignity and learning to expect exclusion. </w:t>
      </w:r>
      <w:hyperlink r:id="rId11">
        <w:r>
          <w:rPr>
            <w:color w:val="0000EE"/>
            <w:u w:val="single"/>
          </w:rPr>
          <w:t>[2]</w:t>
        </w:r>
      </w:hyperlink>
      <w:r>
        <w:t xml:space="preserve">, </w:t>
      </w:r>
      <w:hyperlink r:id="rId13">
        <w:r>
          <w:rPr>
            <w:color w:val="0000EE"/>
            <w:u w:val="single"/>
          </w:rPr>
          <w:t>[6]</w:t>
        </w:r>
      </w:hyperlink>
      <w:r/>
    </w:p>
    <w:p>
      <w:r/>
      <w:r>
        <w:t xml:space="preserve">No one should have to wait for a celebrity to defend their right to live safely and openly. The lasting test of solidarity is whether people protect others’ freedom even when there’s no personal reward, applause or easy political advantage. </w:t>
      </w:r>
      <w:hyperlink r:id="rId11">
        <w:r>
          <w:rPr>
            <w:color w:val="0000EE"/>
            <w:u w:val="single"/>
          </w:rPr>
          <w:t>[2]</w:t>
        </w:r>
      </w:hyperlink>
      <w:r>
        <w:t xml:space="preserve">, </w:t>
      </w:r>
      <w:hyperlink r:id="rId13">
        <w:r>
          <w:rPr>
            <w:color w:val="0000EE"/>
            <w:u w:val="single"/>
          </w:rPr>
          <w:t>[6]</w:t>
        </w:r>
      </w:hyperlink>
      <w:r/>
    </w:p>
    <w:p>
      <w:r/>
      <w:r>
        <w:t>It's a small but powerful measure of democracy: how safely people unlike us can live.</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[4]</w:t>
        </w:r>
      </w:hyperlink>
      <w:r>
        <w:t xml:space="preserve">, </w:t>
      </w:r>
      <w:hyperlink r:id="rId10">
        <w:r>
          <w:rPr>
            <w:color w:val="0000EE"/>
            <w:u w:val="single"/>
          </w:rPr>
          <w:t>[5]</w:t>
        </w:r>
      </w:hyperlink>
      <w:r>
        <w:t xml:space="preserve">- Paragraph 2: </w:t>
      </w:r>
      <w:hyperlink r:id="rId11">
        <w:r>
          <w:rPr>
            <w:color w:val="0000EE"/>
            <w:u w:val="single"/>
          </w:rPr>
          <w:t>[2]</w:t>
        </w:r>
      </w:hyperlink>
      <w:r>
        <w:t xml:space="preserve">, </w:t>
      </w:r>
      <w:hyperlink r:id="rId12">
        <w:r>
          <w:rPr>
            <w:color w:val="0000EE"/>
            <w:u w:val="single"/>
          </w:rPr>
          <w:t>[3]</w:t>
        </w:r>
      </w:hyperlink>
      <w:r>
        <w:t xml:space="preserve">- Paragraph 3: </w:t>
      </w:r>
      <w:hyperlink r:id="rId11">
        <w:r>
          <w:rPr>
            <w:color w:val="0000EE"/>
            <w:u w:val="single"/>
          </w:rPr>
          <w:t>[2]</w:t>
        </w:r>
      </w:hyperlink>
      <w:r>
        <w:t xml:space="preserve">, </w:t>
      </w:r>
      <w:hyperlink r:id="rId13">
        <w:r>
          <w:rPr>
            <w:color w:val="0000EE"/>
            <w:u w:val="single"/>
          </w:rPr>
          <w:t>[6]</w:t>
        </w:r>
      </w:hyperlink>
      <w:r>
        <w:t xml:space="preserve">- Paragraph 4: </w:t>
      </w:r>
      <w:hyperlink r:id="rId11">
        <w:r>
          <w:rPr>
            <w:color w:val="0000EE"/>
            <w:u w:val="single"/>
          </w:rPr>
          <w:t>[2]</w:t>
        </w:r>
      </w:hyperlink>
      <w:r>
        <w:t xml:space="preserve">, </w:t>
      </w:r>
      <w:hyperlink r:id="rId13">
        <w:r>
          <w:rPr>
            <w:color w:val="0000EE"/>
            <w:u w:val="single"/>
          </w:rPr>
          <w:t>[6]</w:t>
        </w:r>
      </w:hyperlink>
      <w:r>
        <w:t xml:space="preserve">- Paragraph 5: </w:t>
      </w:r>
      <w:hyperlink r:id="rId11">
        <w:r>
          <w:rPr>
            <w:color w:val="0000EE"/>
            <w:u w:val="single"/>
          </w:rPr>
          <w:t>[2]</w:t>
        </w:r>
      </w:hyperlink>
      <w:r>
        <w:t xml:space="preserve">, </w:t>
      </w:r>
      <w:hyperlink r:id="rId13">
        <w:r>
          <w:rPr>
            <w:color w:val="0000EE"/>
            <w:u w:val="single"/>
          </w:rPr>
          <w:t>[6]</w:t>
        </w:r>
      </w:hyperlink>
      <w:r>
        <w:t xml:space="preserve">- Paragraph 6: </w:t>
      </w:r>
      <w:hyperlink r:id="rId11">
        <w:r>
          <w:rPr>
            <w:color w:val="0000EE"/>
            <w:u w:val="single"/>
          </w:rPr>
          <w:t>[2]</w:t>
        </w:r>
      </w:hyperlink>
      <w:r>
        <w:t xml:space="preserve">, </w:t>
      </w:r>
      <w:hyperlink r:id="rId14">
        <w:r>
          <w:rPr>
            <w:color w:val="0000EE"/>
            <w:u w:val="single"/>
          </w:rPr>
          <w:t>[7]</w:t>
        </w:r>
      </w:hyperlink>
      <w:r>
        <w:t xml:space="preserve">- Paragraph 7: </w:t>
      </w:r>
      <w:hyperlink r:id="rId11">
        <w:r>
          <w:rPr>
            <w:color w:val="0000EE"/>
            <w:u w:val="single"/>
          </w:rPr>
          <w:t>[2]</w:t>
        </w:r>
      </w:hyperlink>
      <w:r>
        <w:t xml:space="preserve">, </w:t>
      </w:r>
      <w:hyperlink r:id="rId12">
        <w:r>
          <w:rPr>
            <w:color w:val="0000EE"/>
            <w:u w:val="single"/>
          </w:rPr>
          <w:t>[3]</w:t>
        </w:r>
      </w:hyperlink>
      <w:r>
        <w:t xml:space="preserve">- Paragraph 8: </w:t>
      </w:r>
      <w:hyperlink r:id="rId11">
        <w:r>
          <w:rPr>
            <w:color w:val="0000EE"/>
            <w:u w:val="single"/>
          </w:rPr>
          <w:t>[2]</w:t>
        </w:r>
      </w:hyperlink>
      <w:r>
        <w:t xml:space="preserve">, </w:t>
      </w:r>
      <w:hyperlink r:id="rId13">
        <w:r>
          <w:rPr>
            <w:color w:val="0000EE"/>
            <w:u w:val="single"/>
          </w:rPr>
          <w:t>[6]</w:t>
        </w:r>
      </w:hyperlink>
      <w:r>
        <w:t xml:space="preserve">- Paragraph 9: </w:t>
      </w:r>
      <w:hyperlink r:id="rId11">
        <w:r>
          <w:rPr>
            <w:color w:val="0000EE"/>
            <w:u w:val="single"/>
          </w:rPr>
          <w:t>[2]</w:t>
        </w:r>
      </w:hyperlink>
      <w:r>
        <w:t xml:space="preserve">, </w:t>
      </w:r>
      <w:hyperlink r:id="rId13">
        <w:r>
          <w:rPr>
            <w:color w:val="0000EE"/>
            <w:u w:val="single"/>
          </w:rPr>
          <w:t>[6]</w:t>
        </w:r>
      </w:hyperlink>
      <w:r>
        <w:t xml:space="preserve">- Paragraph 10: </w:t>
      </w:r>
      <w:hyperlink r:id="rId11">
        <w:r>
          <w:rPr>
            <w:color w:val="0000EE"/>
            <w:u w:val="single"/>
          </w:rPr>
          <w:t>[2]</w:t>
        </w:r>
      </w:hyperlink>
      <w:r>
        <w:t xml:space="preserve">, </w:t>
      </w:r>
      <w:hyperlink r:id="rId13">
        <w:r>
          <w:rPr>
            <w:color w:val="0000EE"/>
            <w:u w:val="single"/>
          </w:rPr>
          <w:t>[6]</w:t>
        </w:r>
      </w:hyperlink>
      <w:r>
        <w:t xml:space="preserve">- Paragraph 11: </w:t>
      </w:r>
      <w:hyperlink r:id="rId11">
        <w:r>
          <w:rPr>
            <w:color w:val="0000EE"/>
            <w:u w:val="single"/>
          </w:rPr>
          <w:t>[2]</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https://talk.ltn.com.tw/article/breakingnews/5623802</w:t>
        </w:r>
      </w:hyperlink>
      <w:r>
        <w:t xml:space="preserve"> - Please view link - unable to able to access data</w:t>
      </w:r>
      <w:r/>
    </w:p>
    <w:p>
      <w:pPr>
        <w:pStyle w:val="ListNumber"/>
        <w:spacing w:line="240" w:lineRule="auto"/>
        <w:ind w:left="720"/>
      </w:pPr>
      <w:r/>
      <w:hyperlink r:id="rId11">
        <w:r>
          <w:rPr>
            <w:color w:val="0000EE"/>
            <w:u w:val="single"/>
          </w:rPr>
          <w:t>https://talk.ltn.com.tw/article/breakingnews/5623802</w:t>
        </w:r>
      </w:hyperlink>
      <w:r>
        <w:t xml:space="preserve"> - Li Chung-hsien’s opinion article uses Bertrand Russell’s river metaphor for life to reflect on Kai-yung Tsai’s decision to appear at a political campaign event. The author argues that Tsai’s involvement should not be reduced to party allegiance: concern about the police search of a Taipei gay bar and the rights of young LGBTQ+ people helped motivate him. The article connects this episode with Taiwan’s history of democratisation and the 2019 legalisation of same-sex marriage. Its central argument is that freedom and human rights matter beyond personal identity or political affiliation, and that protecting others’ dignity can give life meaning beyond individual success.</w:t>
      </w:r>
      <w:r/>
    </w:p>
    <w:p>
      <w:pPr>
        <w:pStyle w:val="ListNumber"/>
        <w:spacing w:line="240" w:lineRule="auto"/>
        <w:ind w:left="720"/>
      </w:pPr>
      <w:r/>
      <w:hyperlink r:id="rId12">
        <w:r>
          <w:rPr>
            <w:color w:val="0000EE"/>
            <w:u w:val="single"/>
          </w:rPr>
          <w:t>https://www.cna.com.tw/news/amov/202610290376.aspx</w:t>
        </w:r>
      </w:hyperlink>
      <w:r>
        <w:t xml:space="preserve"> - Central News Agency reports Kai-yung Tsai’s account of why he attended a campaign event for Democratic Progressive Party Taipei mayoral candidate Shen Po-yang. Tsai identifies the controversy surrounding a police search of a gay bar in Taipei as one reason he chose to speak publicly. The report also notes that he faced backlash in China after appearing at the event and said he was unconcerned about risking his reputation. It places his comments in the context of debate over police conduct and LGBTQ+ rights. The article is a concise news account of Tsai’s stated motivations, the event and the potential personal and commercial consequences.</w:t>
      </w:r>
      <w:r/>
    </w:p>
    <w:p>
      <w:pPr>
        <w:pStyle w:val="ListNumber"/>
        <w:spacing w:line="240" w:lineRule="auto"/>
        <w:ind w:left="720"/>
      </w:pPr>
      <w:r/>
      <w:hyperlink r:id="rId9">
        <w:r>
          <w:rPr>
            <w:color w:val="0000EE"/>
            <w:u w:val="single"/>
          </w:rPr>
          <w:t>https://www.cna.com.tw/news/asoc/202610040116.aspx</w:t>
        </w:r>
      </w:hyperlink>
      <w:r>
        <w:t xml:space="preserve"> - This Central News Agency report covers criticism following a police search at a Taipei gay bar and the authorities’ response. It says officers searched the venue on 3 October and took people from the premises to the police station. LGBTQ+ organisations issued a joint statement warning against a return to past patterns of oppression and calling for a thorough investigation. The article summarises public concerns about the operation, including the treatment of people at the venue, and records the police response and the wider debate over equality. It provides context for the bar-search controversy cited as a reason for Tsai’s public involvement.</w:t>
      </w:r>
      <w:r/>
    </w:p>
    <w:p>
      <w:pPr>
        <w:pStyle w:val="ListNumber"/>
        <w:spacing w:line="240" w:lineRule="auto"/>
        <w:ind w:left="720"/>
      </w:pPr>
      <w:r/>
      <w:hyperlink r:id="rId10">
        <w:r>
          <w:rPr>
            <w:color w:val="0000EE"/>
            <w:u w:val="single"/>
          </w:rPr>
          <w:t>https://sec.gov.taipei/News_Content.aspx?n=49B4C3242CB7658C&amp;s=CF00CDC3FDA247BA&amp;sms=72544237BBE4C5F6</w:t>
        </w:r>
      </w:hyperlink>
      <w:r>
        <w:t xml:space="preserve"> - Taipei City Government’s statement addresses the controversy over the 3 October 2026 police search of a gay bar in Wanhua. It acknowledges the historical experience of LGBTQ+ communities facing unequal treatment, humiliation and exposure of their identities in gathering places. The city outlines its response, including an investigation into the incident, work on guidance for police operations and support measures for the community. This official source helps establish how the city framed the dispute and the steps it said it would take. It supports the article’s discussion of the search, its social significance and concerns that LGBTQ+ people could again face discriminatory treatment.</w:t>
      </w:r>
      <w:r/>
    </w:p>
    <w:p>
      <w:pPr>
        <w:pStyle w:val="ListNumber"/>
        <w:spacing w:line="240" w:lineRule="auto"/>
        <w:ind w:left="720"/>
      </w:pPr>
      <w:r/>
      <w:hyperlink r:id="rId13">
        <w:r>
          <w:rPr>
            <w:color w:val="0000EE"/>
            <w:u w:val="single"/>
          </w:rPr>
          <w:t>https://gec.ey.gov.tw/en/69420B6BAE634218</w:t>
        </w:r>
      </w:hyperlink>
      <w:r>
        <w:t xml:space="preserve"> - This English-language page from Taiwan’s Executive Yuan Gender Equality Committee outlines the country’s legal framework for LGBTQ+ equality. It explains that the Constitutional Court issued Interpretation No. 748 in 2017 and that legislation implementing the ruling was enacted on 24 May 2019. The act permits two people of the same sex in Taiwan to establish a committed, exclusive union and enter into marriage. The information supports the article’s reference to Taiwan’s same-sex marriage legislation and the progress made through advocacy and legal change. It also provides an official account of the legal basis for marriage equality, rather than relying solely on political commentary.</w:t>
      </w:r>
      <w:r/>
    </w:p>
    <w:p>
      <w:pPr>
        <w:pStyle w:val="ListNumber"/>
        <w:spacing w:line="240" w:lineRule="auto"/>
        <w:ind w:left="720"/>
      </w:pPr>
      <w:r/>
      <w:hyperlink r:id="rId14">
        <w:r>
          <w:rPr>
            <w:color w:val="0000EE"/>
            <w:u w:val="single"/>
          </w:rPr>
          <w:t>https://understandinghumanism.org.uk/wp-content/uploads/2021/10/River-of-life.pdf</w:t>
        </w:r>
      </w:hyperlink>
      <w:r>
        <w:t xml:space="preserve"> - This educational resource discusses Bertrand Russell’s river metaphor for human life, drawing on his essay “How to Grow Old”. In the metaphor, a river begins narrow and forceful, then gradually widens and flows more calmly before joining the sea and losing its separate identity. The resource uses the image to prompt reflection on how a person’s concerns can extend beyond individual interests and become part of a larger human story. It helps explain the philosophical idea at the centre of Li Chung-hsien’s article: that accepting life’s limits and caring about what continues after one’s own life can reduce fear of death and give actions lasting significance.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na.com.tw/news/asoc/202610040116.aspx" TargetMode="External"/><Relationship Id="rId10" Type="http://schemas.openxmlformats.org/officeDocument/2006/relationships/hyperlink" Target="https://sec.gov.taipei/News_Content.aspx?n=49B4C3242CB7658C&amp;s=CF00CDC3FDA247BA&amp;sms=72544237BBE4C5F6" TargetMode="External"/><Relationship Id="rId11" Type="http://schemas.openxmlformats.org/officeDocument/2006/relationships/hyperlink" Target="https://talk.ltn.com.tw/article/breakingnews/5623802" TargetMode="External"/><Relationship Id="rId12" Type="http://schemas.openxmlformats.org/officeDocument/2006/relationships/hyperlink" Target="https://www.cna.com.tw/news/amov/202610290376.aspx" TargetMode="External"/><Relationship Id="rId13" Type="http://schemas.openxmlformats.org/officeDocument/2006/relationships/hyperlink" Target="https://gec.ey.gov.tw/en/69420B6BAE634218" TargetMode="External"/><Relationship Id="rId14" Type="http://schemas.openxmlformats.org/officeDocument/2006/relationships/hyperlink" Target="https://understandinghumanism.org.uk/wp-content/uploads/2021/10/River-of-life.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