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India judgment digest: key legal insights from September 2026</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Courts across India have delivered important rulings on queer couples, child sexual abuse and underage marriage. Together, these September 2026 judgments show how privacy, personal law and child protection are being weighed against claims of tradition, consent and procedural error.</w:t>
      </w:r>
      <w:r/>
    </w:p>
    <w:p>
      <w:pPr>
        <w:pStyle w:val="Heading2"/>
      </w:pPr>
      <w:r>
        <w:t>Essential Takeaways</w:t>
      </w:r>
      <w:r/>
      <w:r/>
    </w:p>
    <w:p>
      <w:pPr>
        <w:pStyle w:val="ListBullet"/>
        <w:spacing w:line="240" w:lineRule="auto"/>
        <w:ind w:left="720"/>
      </w:pPr>
      <w:r/>
      <w:r>
        <w:rPr>
          <w:b/>
        </w:rPr>
        <w:t>Protection for queer partners:</w:t>
      </w:r>
      <w:r>
        <w:t xml:space="preserve"> The Allahabad High Court backed police protection for two adult women in a voluntary same-sex relationship.</w:t>
      </w:r>
      <w:r/>
    </w:p>
    <w:p>
      <w:pPr>
        <w:pStyle w:val="ListBullet"/>
        <w:spacing w:line="240" w:lineRule="auto"/>
        <w:ind w:left="720"/>
      </w:pPr>
      <w:r/>
      <w:r>
        <w:rPr>
          <w:b/>
        </w:rPr>
        <w:t>Child evidence matters:</w:t>
      </w:r>
      <w:r>
        <w:t xml:space="preserve"> The Delhi High Court said a young child needn't use technical language to prove sexual penetration.</w:t>
      </w:r>
      <w:r/>
    </w:p>
    <w:p>
      <w:pPr>
        <w:pStyle w:val="ListBullet"/>
        <w:spacing w:line="240" w:lineRule="auto"/>
        <w:ind w:left="720"/>
      </w:pPr>
      <w:r/>
      <w:r>
        <w:rPr>
          <w:b/>
        </w:rPr>
        <w:t>Personal law has limits:</w:t>
      </w:r>
      <w:r>
        <w:t xml:space="preserve"> A Muslim marriage cannot override POCSO or criminal protections applying to minors.</w:t>
      </w:r>
      <w:r/>
    </w:p>
    <w:p>
      <w:pPr>
        <w:pStyle w:val="ListBullet"/>
        <w:spacing w:line="240" w:lineRule="auto"/>
        <w:ind w:left="720"/>
      </w:pPr>
      <w:r/>
      <w:r>
        <w:rPr>
          <w:b/>
        </w:rPr>
        <w:t>Consent isn't a shield:</w:t>
      </w:r>
      <w:r>
        <w:t xml:space="preserve"> Family approval and a child's stated willingness don't remove statutory safeguards.</w:t>
      </w:r>
      <w:r/>
    </w:p>
    <w:p>
      <w:pPr>
        <w:pStyle w:val="ListBullet"/>
        <w:spacing w:line="240" w:lineRule="auto"/>
        <w:ind w:left="720"/>
      </w:pPr>
      <w:r/>
      <w:r>
        <w:rPr>
          <w:b/>
        </w:rPr>
        <w:t>Practical lesson:</w:t>
      </w:r>
      <w:r>
        <w:t xml:space="preserve"> Courts are focusing increasingly on autonomy, evidence and the protective purpose of legislation.</w:t>
      </w:r>
      <w:r/>
      <w:r/>
    </w:p>
    <w:p>
      <w:pPr>
        <w:pStyle w:val="Heading2"/>
      </w:pPr>
      <w:r>
        <w:t>A same-sex couple's right to live without fear</w:t>
      </w:r>
      <w:r/>
    </w:p>
    <w:p>
      <w:r/>
      <w:r>
        <w:t>The most striking ruling came from the Allahabad High Court, where two adult women, one Hindu and one Muslim, sought protection after facing threats and harassment from relatives and other private individuals. They told the court they had chosen to live together freely, making the case as much about everyday safety as constitutional principle.</w:t>
      </w:r>
      <w:r/>
    </w:p>
    <w:p>
      <w:r/>
      <w:r>
        <w:t>The court allowed their petition and directed the police to provide protection after confirming their ages and voluntary choice. According to the September judgment digest, the order reflects the continuing influence of Supreme Court decisions on privacy, dignity and personal autonomy. The state's argument that such a relationship conflicted with social tradition did not outweigh the women's right to live without intimidation.</w:t>
      </w:r>
      <w:r/>
    </w:p>
    <w:p>
      <w:r/>
      <w:r>
        <w:t>This is an important distinction. The ruling wasn't simply about recognising a formal marriage; it was about protecting adults from threats because of a relationship they had chosen. The court also left room for a recall application if documents were later shown to be forged, adding a procedural safeguard without weakening the immediate protection.</w:t>
      </w:r>
      <w:r/>
    </w:p>
    <w:p>
      <w:pPr>
        <w:pStyle w:val="Heading2"/>
      </w:pPr>
      <w:r>
        <w:t>Why child testimony can't be judged like adult evidence</w:t>
      </w:r>
      <w:r/>
    </w:p>
    <w:p>
      <w:r/>
      <w:r>
        <w:t>A Delhi High Court decision involving a four-year-old child underlined a very different principle: young victims shouldn't be expected to describe abuse using legal or anatomical vocabulary. The child had returned from a neighbour's home bleeding and told her mother that he had caused pain to her private parts.</w:t>
      </w:r>
      <w:r/>
    </w:p>
    <w:p>
      <w:r/>
      <w:r>
        <w:t>The trial court had acquitted the accused of rape, partly because the child hadn't expressly used the word penetration, although it convicted him under another provision. The division bench overturned that finding and held that the child's account had to be understood in context, alongside her prompt disclosure, earlier statement, medical evidence and forensic findings.</w:t>
      </w:r>
      <w:r/>
    </w:p>
    <w:p>
      <w:r/>
      <w:r>
        <w:t>The court's approach recognises an uncomfortable reality. A frightened child may communicate through simple, imperfect language, not courtroom terminology. As the judgment digest explains, a missing blood-group test was treated as an investigative shortcoming rather than a reason to discard an otherwise coherent evidential chain.</w:t>
      </w:r>
      <w:r/>
    </w:p>
    <w:p>
      <w:pPr>
        <w:pStyle w:val="Heading2"/>
      </w:pPr>
      <w:r>
        <w:t>Personal law cannot override child-protection legislation</w:t>
      </w:r>
      <w:r/>
    </w:p>
    <w:p>
      <w:r/>
      <w:r>
        <w:t>The third case concerned a 16-year-old Muslim girl who had married a man nearly 28 by nikah and later became pregnant. After her age emerged at hospital, police registered a case under the Bharatiya Nyaya Sanhita and the Protection of Children from Sexual Offences Act. She maintained that the relationship and marriage had been voluntary.</w:t>
      </w:r>
      <w:r/>
    </w:p>
    <w:p>
      <w:r/>
      <w:r>
        <w:t>The Delhi High Court refused to quash the proceedings. It left the validity of the nikah open, but made the broader legal position clear: personal law may be relevant to the status of a marriage, yet it can't create an exemption from criminal legislation designed to protect children.</w:t>
      </w:r>
      <w:r/>
    </w:p>
    <w:p>
      <w:r/>
      <w:r>
        <w:t>That means the minor's consent, the family's approval and the claimed validity of the marriage didn't settle the criminal-law question. The court also pointed to the statutory framework, including the marital exception applying only where the wife is at least 18 and POCSO's overriding effect over inconsistent laws.</w:t>
      </w:r>
      <w:r/>
    </w:p>
    <w:p>
      <w:pPr>
        <w:pStyle w:val="Heading2"/>
      </w:pPr>
      <w:r>
        <w:t>Three rulings, one changing legal emphasis</w:t>
      </w:r>
      <w:r/>
    </w:p>
    <w:p>
      <w:r/>
      <w:r>
        <w:t>Taken together, these decisions show courts concentrating on substance rather than labels. In the same-sex relationship case, the label of social tradition couldn't erase the adults' autonomy. In the child-abuse appeal, the absence of technical wording couldn't erase the surrounding evidence. In the underage-marriage case, the label of personal law couldn't erase statutory child protection.</w:t>
      </w:r>
      <w:r/>
    </w:p>
    <w:p>
      <w:r/>
      <w:r>
        <w:t>That doesn't mean every case will produce the same result. Evidence still matters, documents can be challenged and guilt must be decided according to the applicable legal standard. But the September rulings suggest that courts are increasingly wary of arguments that rely on formal categories while overlooking vulnerability, coercion or real-world harm.</w:t>
      </w:r>
      <w:r/>
    </w:p>
    <w:p>
      <w:r/>
      <w:r>
        <w:t>For families, police officers and legal practitioners, the practical message is fairly direct: protect adults who are facing unlawful threats, assess children's accounts in an age-appropriate way and don't assume that a customary or religious arrangement displaces mandatory criminal law. It's a sober set of lessons, but also a useful sign of where Indian legal reasoning is heading.</w:t>
      </w:r>
      <w:r/>
    </w:p>
    <w:p>
      <w:r/>
      <w:r>
        <w:t>The September digest offers a revealing snapshot of courts putting autonomy and protection at the centre of difficult disputes.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[6]</w:t>
        </w:r>
      </w:hyperlink>
      <w:r>
        <w:t xml:space="preserve">- Paragraph 3: </w:t>
      </w:r>
      <w:hyperlink r:id="rId9">
        <w:r>
          <w:rPr>
            <w:color w:val="0000EE"/>
            <w:u w:val="single"/>
          </w:rPr>
          <w:t>[2]</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[3]</w:t>
        </w:r>
      </w:hyperlink>
      <w:r>
        <w:t xml:space="preserve">- Paragraph 5: </w:t>
      </w:r>
      <w:hyperlink r:id="rId9">
        <w:r>
          <w:rPr>
            <w:color w:val="0000EE"/>
            <w:u w:val="single"/>
          </w:rPr>
          <w:t>[2]</w:t>
        </w:r>
      </w:hyperlink>
      <w:r>
        <w:t xml:space="preserve">, </w:t>
      </w:r>
      <w:hyperlink r:id="rId13">
        <w:r>
          <w:rPr>
            <w:color w:val="0000EE"/>
            <w:u w:val="single"/>
          </w:rPr>
          <w:t>[4]</w:t>
        </w:r>
      </w:hyperlink>
      <w:r>
        <w:t xml:space="preserve">- Paragraph 6: </w:t>
      </w:r>
      <w:hyperlink r:id="rId9">
        <w:r>
          <w:rPr>
            <w:color w:val="0000EE"/>
            <w:u w:val="single"/>
          </w:rPr>
          <w:t>[2]</w:t>
        </w:r>
      </w:hyperlink>
      <w:r>
        <w:t xml:space="preserve">, </w:t>
      </w:r>
      <w:hyperlink r:id="rId14">
        <w:r>
          <w:rPr>
            <w:color w:val="0000EE"/>
            <w:u w:val="single"/>
          </w:rPr>
          <w:t>[5]</w:t>
        </w:r>
      </w:hyperlink>
      <w:r>
        <w:t xml:space="preserve">- Paragraph 7: </w:t>
      </w:r>
      <w:hyperlink r:id="rId9">
        <w:r>
          <w:rPr>
            <w:color w:val="0000EE"/>
            <w:u w:val="single"/>
          </w:rPr>
          <w:t>[2]</w:t>
        </w:r>
      </w:hyperlink>
      <w:r>
        <w:t xml:space="preserve">, </w:t>
      </w:r>
      <w:hyperlink r:id="rId12">
        <w:r>
          <w:rPr>
            <w:color w:val="0000EE"/>
            <w:u w:val="single"/>
          </w:rPr>
          <w:t>[3]</w:t>
        </w:r>
      </w:hyperlink>
      <w:r>
        <w:t xml:space="preserve">- Paragraph 8: </w:t>
      </w:r>
      <w:hyperlink r:id="rId9">
        <w:r>
          <w:rPr>
            <w:color w:val="0000EE"/>
            <w:u w:val="single"/>
          </w:rPr>
          <w:t>[2]</w:t>
        </w:r>
      </w:hyperlink>
      <w:r>
        <w:t xml:space="preserve">, </w:t>
      </w:r>
      <w:hyperlink r:id="rId13">
        <w:r>
          <w:rPr>
            <w:color w:val="0000EE"/>
            <w:u w:val="single"/>
          </w:rPr>
          <w:t>[4]</w:t>
        </w:r>
      </w:hyperlink>
      <w:r>
        <w:t xml:space="preserve">- Paragraph 9: </w:t>
      </w:r>
      <w:hyperlink r:id="rId9">
        <w:r>
          <w:rPr>
            <w:color w:val="0000EE"/>
            <w:u w:val="single"/>
          </w:rPr>
          <w:t>[2]</w:t>
        </w:r>
      </w:hyperlink>
      <w:r>
        <w:t xml:space="preserve">, </w:t>
      </w:r>
      <w:hyperlink r:id="rId14">
        <w:r>
          <w:rPr>
            <w:color w:val="0000EE"/>
            <w:u w:val="single"/>
          </w:rPr>
          <w:t>[5]</w:t>
        </w:r>
      </w:hyperlink>
      <w:r>
        <w:t xml:space="preserve">- Paragraph 10: </w:t>
      </w:r>
      <w:hyperlink r:id="rId9">
        <w:r>
          <w:rPr>
            <w:color w:val="0000EE"/>
            <w:u w:val="single"/>
          </w:rPr>
          <w:t>[2]</w:t>
        </w:r>
      </w:hyperlink>
      <w:r>
        <w:t xml:space="preserve">, </w:t>
      </w:r>
      <w:hyperlink r:id="rId10">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Paragraph 13: </w:t>
      </w:r>
      <w:hyperlink r:id="rId9">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https://lawtimesjournal.in/september-2026-judgment-digest-key-legal-insights/</w:t>
        </w:r>
      </w:hyperlink>
      <w:r>
        <w:t xml:space="preserve"> - Please view link - unable to able to access data</w:t>
      </w:r>
      <w:r/>
    </w:p>
    <w:p>
      <w:pPr>
        <w:pStyle w:val="ListNumber"/>
        <w:spacing w:line="240" w:lineRule="auto"/>
        <w:ind w:left="720"/>
      </w:pPr>
      <w:r/>
      <w:hyperlink r:id="rId9">
        <w:r>
          <w:rPr>
            <w:color w:val="0000EE"/>
            <w:u w:val="single"/>
          </w:rPr>
          <w:t>https://lawtimesjournal.in/september-2026-judgment-digest-key-legal-insights/</w:t>
        </w:r>
      </w:hyperlink>
      <w:r>
        <w:t xml:space="preserve"> - This article provides a digest of key legal insights from judgments delivered in September 2026. It covers three significant cases: 'Km Farida Ansari and Anr. v. State of U.P.', 'State v. Munna Kumar', and 'Bilal &amp; Anr. v. State Govt. of NCT of Delhi'. Each case summary includes facts, issues, held decisions, and analyses, offering readers a comprehensive understanding of recent legal developments in India.</w:t>
      </w:r>
      <w:r/>
    </w:p>
    <w:p>
      <w:pPr>
        <w:pStyle w:val="ListNumber"/>
        <w:spacing w:line="240" w:lineRule="auto"/>
        <w:ind w:left="720"/>
      </w:pPr>
      <w:r/>
      <w:hyperlink r:id="rId12">
        <w:r>
          <w:rPr>
            <w:color w:val="0000EE"/>
            <w:u w:val="single"/>
          </w:rPr>
          <w:t>https://en.wikipedia.org/wiki/Poonam_Rani_v._State_of_Uttar_Pradesh</w:t>
        </w:r>
      </w:hyperlink>
      <w:r>
        <w:t xml:space="preserve"> - The 'Poonam Rani v. State of Uttar Pradesh' case, decided on 20 January 2021, reaffirmed the Allahabad High Court's responsibility to uphold constitutional morality and protect citizens' rights, particularly when these rights are threatened solely due to sexual orientation. This case highlights the court's role in safeguarding the rights of individuals in same-sex relationships.</w:t>
      </w:r>
      <w:r/>
    </w:p>
    <w:p>
      <w:pPr>
        <w:pStyle w:val="ListNumber"/>
        <w:spacing w:line="240" w:lineRule="auto"/>
        <w:ind w:left="720"/>
      </w:pPr>
      <w:r/>
      <w:hyperlink r:id="rId13">
        <w:r>
          <w:rPr>
            <w:color w:val="0000EE"/>
            <w:u w:val="single"/>
          </w:rPr>
          <w:t>https://en.wikipedia.org/wiki/Sultana_Mirza_v._State_of_Uttar_Pradesh</w:t>
        </w:r>
      </w:hyperlink>
      <w:r>
        <w:t xml:space="preserve"> - In the 'Sultana Mirza v. State of Uttar Pradesh' case, decided on 2 November 2020, the Allahabad High Court emphasized its duty to monitor and uphold constitutional morality and the rights of citizens, especially when these rights are under threat solely due to sexual orientation. The case underscores the court's commitment to protecting the rights of individuals in same-sex relationships.</w:t>
      </w:r>
      <w:r/>
    </w:p>
    <w:p>
      <w:pPr>
        <w:pStyle w:val="ListNumber"/>
        <w:spacing w:line="240" w:lineRule="auto"/>
        <w:ind w:left="720"/>
      </w:pPr>
      <w:r/>
      <w:hyperlink r:id="rId14">
        <w:r>
          <w:rPr>
            <w:color w:val="0000EE"/>
            <w:u w:val="single"/>
          </w:rPr>
          <w:t>https://en.wikipedia.org/wiki/Rohit_Sagar_v._State_of_Uttarakhand</w:t>
        </w:r>
      </w:hyperlink>
      <w:r>
        <w:t xml:space="preserve"> - The 'Rohit Sagar v. State of Uttarakhand' case, decided on 16 December 2021, established the right of legal adults to select their own partners, instructing the police to ensure the couple's safety and safeguard their property. This case highlights the court's recognition of individuals' rights to choose their life partners, regardless of sexual orientation.</w:t>
      </w:r>
      <w:r/>
    </w:p>
    <w:p>
      <w:pPr>
        <w:pStyle w:val="ListNumber"/>
        <w:spacing w:line="240" w:lineRule="auto"/>
        <w:ind w:left="720"/>
      </w:pPr>
      <w:r/>
      <w:hyperlink r:id="rId10">
        <w:r>
          <w:rPr>
            <w:color w:val="0000EE"/>
            <w:u w:val="single"/>
          </w:rPr>
          <w:t>https://en.wikipedia.org/wiki/Recognition_of_same-sex_unions_in_Uttar_Pradesh</w:t>
        </w:r>
      </w:hyperlink>
      <w:r>
        <w:t xml:space="preserve"> - This article discusses the legal status of same-sex unions in Uttar Pradesh. While the state does not recognise same-sex marriages or civil unions, live-in relationships are not unlawful. The Supreme Court of India has held that adults have a constitutional right to live together without being married, and that police cannot interfere with consenting adults living together. The Allahabad High Court has upheld this constitutional right in multiple writ petitions, notably 'Sultana Mirza v. State of Uttar Pradesh' in 2020 and 'Poonam Rani v. State of Uttar Pradesh' in 2021.</w:t>
      </w:r>
      <w:r/>
    </w:p>
    <w:p>
      <w:pPr>
        <w:pStyle w:val="ListNumber"/>
        <w:spacing w:line="240" w:lineRule="auto"/>
        <w:ind w:left="720"/>
      </w:pPr>
      <w:r/>
      <w:hyperlink r:id="rId11">
        <w:r>
          <w:rPr>
            <w:color w:val="0000EE"/>
            <w:u w:val="single"/>
          </w:rPr>
          <w:t>https://en.wikipedia.org/wiki/Recognition_of_same-sex_unions_in_Uttarakhand</w:t>
        </w:r>
      </w:hyperlink>
      <w:r>
        <w:t xml:space="preserve"> - This article examines the legal recognition of same-sex unions in Uttarakhand. The Supreme Court of India has affirmed that adults have a constitutional right to live together without being married, and that police cannot interfere with consenting adults living together. State courts have upheld this constitutional right and further ruled that if a couple faces threats from family or the community, they may request police protection. However, live-in relationships do not confer all the legal rights and benefits of marriage. The Uttarakhand High Court has issued judgments regarding same-sex live-in relationships, notably in 'Madhu Bala v. State of Uttarakhand' in June 2020, which recognised live-in relationships between same-sex couples as a fundamental right under Article 21 of the Constitution of India.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awtimesjournal.in/september-2026-judgment-digest-key-legal-insights/" TargetMode="External"/><Relationship Id="rId10" Type="http://schemas.openxmlformats.org/officeDocument/2006/relationships/hyperlink" Target="https://en.wikipedia.org/wiki/Recognition_of_same-sex_unions_in_Uttar_Pradesh" TargetMode="External"/><Relationship Id="rId11" Type="http://schemas.openxmlformats.org/officeDocument/2006/relationships/hyperlink" Target="https://en.wikipedia.org/wiki/Recognition_of_same-sex_unions_in_Uttarakhand" TargetMode="External"/><Relationship Id="rId12" Type="http://schemas.openxmlformats.org/officeDocument/2006/relationships/hyperlink" Target="https://en.wikipedia.org/wiki/Poonam_Rani_v._State_of_Uttar_Pradesh" TargetMode="External"/><Relationship Id="rId13" Type="http://schemas.openxmlformats.org/officeDocument/2006/relationships/hyperlink" Target="https://en.wikipedia.org/wiki/Sultana_Mirza_v._State_of_Uttar_Pradesh" TargetMode="External"/><Relationship Id="rId14" Type="http://schemas.openxmlformats.org/officeDocument/2006/relationships/hyperlink" Target="https://en.wikipedia.org/wiki/Rohit_Sagar_v._State_of_Uttarakhan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