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Gay Coming-of-Age Stories Show How Small Moments Can Change Everything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sharing the books, films, crushes and encounters that helped them recognise they were gay, from a secret library read to a moment of comfort in Vietnam. Their stories span generations and settings, but they share a reminder: self-discovery rarely follows one script, and familiar culture can offer a powerful first glimpse of belonging.</w:t>
      </w:r>
      <w:r/>
    </w:p>
    <w:p>
      <w:pPr>
        <w:pStyle w:val="Heading2"/>
      </w:pPr>
      <w:r>
        <w:t>A book, a crush, a quiet realisation</w:t>
      </w:r>
      <w:r/>
    </w:p>
    <w:p>
      <w:r/>
      <w:r>
        <w:t xml:space="preserve">Sometimes, the spark comes from a book picked up for the cover. One reader recalled finding Edmund White's </w:t>
      </w:r>
      <w:r>
        <w:rPr>
          <w:i/>
        </w:rPr>
        <w:t>A Boy's Own Story</w:t>
      </w:r>
      <w:r>
        <w:t xml:space="preserve"> in a library and sneaking away to read it, recognising something of himself in its protagonist. Another remembered discovering </w:t>
      </w:r>
      <w:r>
        <w:rPr>
          <w:i/>
        </w:rPr>
        <w:t>The Front Runner</w:t>
      </w:r>
      <w:r>
        <w:t xml:space="preserve"> in a university bookshop. </w:t>
      </w:r>
      <w:hyperlink r:id="rId9">
        <w:r>
          <w:rPr>
            <w:color w:val="0000EE"/>
            <w:u w:val="single"/>
          </w:rPr>
          <w:t>[3]</w:t>
        </w:r>
      </w:hyperlink>
      <w:r/>
    </w:p>
    <w:p>
      <w:r/>
      <w:r>
        <w:t xml:space="preserve">That sense of recognition can matter as much as the story itself. Penguin Random House describes White's novel as a semi-autobiographical account of a gay boy growing up in the American Midwest, while its central themes of identity and adolescence help explain why readers have carried it with them. </w:t>
      </w:r>
      <w:hyperlink r:id="rId9">
        <w:r>
          <w:rPr>
            <w:color w:val="0000EE"/>
            <w:u w:val="single"/>
          </w:rPr>
          <w:t>[3]</w:t>
        </w:r>
      </w:hyperlink>
      <w:r/>
    </w:p>
    <w:p>
      <w:r/>
      <w:r>
        <w:t xml:space="preserve">For a teenager who hasn't yet found the words, seeing an experience reflected on a page can make the future feel less abstract. That's one reason access to LGBTQ+ stories in libraries and schools continues to matter. </w:t>
      </w:r>
      <w:hyperlink r:id="rId9">
        <w:r>
          <w:rPr>
            <w:color w:val="0000EE"/>
            <w:u w:val="single"/>
          </w:rPr>
          <w:t>[3]</w:t>
        </w:r>
      </w:hyperlink>
      <w:r>
        <w:t xml:space="preserve">, </w:t>
      </w:r>
      <w:hyperlink r:id="rId10">
        <w:r>
          <w:rPr>
            <w:color w:val="0000EE"/>
            <w:u w:val="single"/>
          </w:rPr>
          <w:t>[4]</w:t>
        </w:r>
      </w:hyperlink>
      <w:r/>
    </w:p>
    <w:p>
      <w:pPr>
        <w:pStyle w:val="Heading2"/>
      </w:pPr>
      <w:r>
        <w:t>Queer films and TV can open a door</w:t>
      </w:r>
      <w:r/>
    </w:p>
    <w:p>
      <w:r/>
      <w:r>
        <w:t xml:space="preserve">For other readers, it was the screen that made something click. </w:t>
      </w:r>
      <w:r>
        <w:rPr>
          <w:i/>
        </w:rPr>
        <w:t>The Rocky Horror Picture Show</w:t>
      </w:r>
      <w:r>
        <w:t xml:space="preserve">, with its campy costumes and gleefully unconventional sensibility, became a formative favourite for one reader who was also falling for a charismatic young man. The American Film Institute's account of the 1975 film charts its place in cinema history. </w:t>
      </w:r>
      <w:hyperlink r:id="rId11">
        <w:r>
          <w:rPr>
            <w:color w:val="0000EE"/>
            <w:u w:val="single"/>
          </w:rPr>
          <w:t>[5]</w:t>
        </w:r>
      </w:hyperlink>
      <w:r/>
    </w:p>
    <w:p>
      <w:r/>
      <w:r>
        <w:t xml:space="preserve">Television crushes, classic musicals and even action films featured in readers' memories, too. The details differ, but the pattern is familiar: a character, performer or scene suddenly brings a feeling into focus. </w:t>
      </w:r>
      <w:hyperlink r:id="rId12">
        <w:r>
          <w:rPr>
            <w:color w:val="0000EE"/>
            <w:u w:val="single"/>
          </w:rPr>
          <w:t>[2]</w:t>
        </w:r>
      </w:hyperlink>
      <w:r>
        <w:t xml:space="preserve">, </w:t>
      </w:r>
      <w:hyperlink r:id="rId11">
        <w:r>
          <w:rPr>
            <w:color w:val="0000EE"/>
            <w:u w:val="single"/>
          </w:rPr>
          <w:t>[5]</w:t>
        </w:r>
      </w:hyperlink>
      <w:r/>
    </w:p>
    <w:p>
      <w:r/>
      <w:r>
        <w:t xml:space="preserve">And sometimes the revelation isn't about a particular genre at all. One reader said </w:t>
      </w:r>
      <w:r>
        <w:rPr>
          <w:i/>
        </w:rPr>
        <w:t>Die Hard</w:t>
      </w:r>
      <w:r>
        <w:t xml:space="preserve"> helped explain why he loved that action film in a way other examples of the genre didn't quite match. Self-discovery can be wonderfully specific. </w:t>
      </w:r>
      <w:hyperlink r:id="rId12">
        <w:r>
          <w:rPr>
            <w:color w:val="0000EE"/>
            <w:u w:val="single"/>
          </w:rPr>
          <w:t>[2]</w:t>
        </w:r>
      </w:hyperlink>
      <w:r/>
    </w:p>
    <w:p>
      <w:pPr>
        <w:pStyle w:val="Heading2"/>
      </w:pPr>
      <w:r>
        <w:t>International Male catalogues made men the main event</w:t>
      </w:r>
      <w:r/>
    </w:p>
    <w:p>
      <w:r/>
      <w:r>
        <w:t xml:space="preserve">Before online browsing, mail-order catalogues could offer a strikingly different view of male fashion and desirability. Two readers remembered hiding copies of International Male at home, drawn to images of men in revealing clothes that they hadn't seen elsewhere. </w:t>
      </w:r>
      <w:hyperlink r:id="rId12">
        <w:r>
          <w:rPr>
            <w:color w:val="0000EE"/>
            <w:u w:val="single"/>
          </w:rPr>
          <w:t>[2]</w:t>
        </w:r>
      </w:hyperlink>
      <w:r>
        <w:t xml:space="preserve">, </w:t>
      </w:r>
      <w:hyperlink r:id="rId13">
        <w:r>
          <w:rPr>
            <w:color w:val="0000EE"/>
            <w:u w:val="single"/>
          </w:rPr>
          <w:t>[7]</w:t>
        </w:r>
      </w:hyperlink>
      <w:r/>
    </w:p>
    <w:p>
      <w:r/>
      <w:r>
        <w:t xml:space="preserve">GQ's look back at the catalogue's fashion legacy describes how its bold approach to menswear imagery helped shape later advertising aesthetics. For some young readers, though, the impact was more personal than stylistic: those glossy pages offered a private moment of recognition. </w:t>
      </w:r>
      <w:hyperlink r:id="rId13">
        <w:r>
          <w:rPr>
            <w:color w:val="0000EE"/>
            <w:u w:val="single"/>
          </w:rPr>
          <w:t>[7]</w:t>
        </w:r>
      </w:hyperlink>
      <w:r/>
    </w:p>
    <w:p>
      <w:r/>
      <w:r>
        <w:t xml:space="preserve">That history is a reminder that popular culture doesn't have to announce itself as a guide to identity to play that role. Sometimes a catalogue is just a catalogue, until it isn't. </w:t>
      </w:r>
      <w:hyperlink r:id="rId12">
        <w:r>
          <w:rPr>
            <w:color w:val="0000EE"/>
            <w:u w:val="single"/>
          </w:rPr>
          <w:t>[2]</w:t>
        </w:r>
      </w:hyperlink>
      <w:r>
        <w:t xml:space="preserve">, </w:t>
      </w:r>
      <w:hyperlink r:id="rId13">
        <w:r>
          <w:rPr>
            <w:color w:val="0000EE"/>
            <w:u w:val="single"/>
          </w:rPr>
          <w:t>[7]</w:t>
        </w:r>
      </w:hyperlink>
      <w:r/>
    </w:p>
    <w:p>
      <w:pPr>
        <w:pStyle w:val="Heading2"/>
      </w:pPr>
      <w:r>
        <w:t>Coming out stories don't follow one timeline</w:t>
      </w:r>
      <w:r/>
    </w:p>
    <w:p>
      <w:r/>
      <w:r>
        <w:t xml:space="preserve">Not every turning point happened in adolescence, and not every realisation arrived in private. Readers described recognising their feelings through a first crush or kiss, while others found clarity later, after seeing an openly gay public figure or meeting gay men living more visibly. </w:t>
      </w:r>
      <w:hyperlink r:id="rId12">
        <w:r>
          <w:rPr>
            <w:color w:val="0000EE"/>
            <w:u w:val="single"/>
          </w:rPr>
          <w:t>[2]</w:t>
        </w:r>
      </w:hyperlink>
      <w:r/>
    </w:p>
    <w:p>
      <w:r/>
      <w:r>
        <w:t xml:space="preserve">Bodybuilder Bob Paris became one such point of reference for a reader who saw him speak about being gay on television. Paris's own account of his life and public coming out offers further context for why representation from someone who feels relatable can resonate so strongly. </w:t>
      </w:r>
      <w:hyperlink r:id="rId12">
        <w:r>
          <w:rPr>
            <w:color w:val="0000EE"/>
            <w:u w:val="single"/>
          </w:rPr>
          <w:t>[2]</w:t>
        </w:r>
      </w:hyperlink>
      <w:r>
        <w:t xml:space="preserve">, </w:t>
      </w:r>
      <w:hyperlink r:id="rId14">
        <w:r>
          <w:rPr>
            <w:color w:val="0000EE"/>
            <w:u w:val="single"/>
          </w:rPr>
          <w:t>[6]</w:t>
        </w:r>
      </w:hyperlink>
      <w:r/>
    </w:p>
    <w:p>
      <w:r/>
      <w:r>
        <w:t xml:space="preserve">One reader's story unfolded during military service in Vietnam, where a fellow serviceman's kindness and physical comfort brought his feelings into focus. It's a moving example of how an unexpected moment can make something long sensed suddenly unmistakable. </w:t>
      </w:r>
      <w:hyperlink r:id="rId12">
        <w:r>
          <w:rPr>
            <w:color w:val="0000EE"/>
            <w:u w:val="single"/>
          </w:rPr>
          <w:t>[2]</w:t>
        </w:r>
      </w:hyperlink>
      <w:r/>
    </w:p>
    <w:p>
      <w:pPr>
        <w:pStyle w:val="Heading2"/>
      </w:pPr>
      <w:r>
        <w:t>The moments are personal, but recognition travels</w:t>
      </w:r>
      <w:r/>
    </w:p>
    <w:p>
      <w:r/>
      <w:r>
        <w:t xml:space="preserve">These memories aren't a checklist for discovering your identity. A book, a crush or a film may mean something different to every person, and no single story can speak for everyone. What they share is the relief of finding a clue, whether in a character, a real person or a moment of connection. </w:t>
      </w:r>
      <w:hyperlink r:id="rId12">
        <w:r>
          <w:rPr>
            <w:color w:val="0000EE"/>
            <w:u w:val="single"/>
          </w:rPr>
          <w:t>[2]</w:t>
        </w:r>
      </w:hyperlink>
      <w:r>
        <w:t xml:space="preserve">, </w:t>
      </w:r>
      <w:hyperlink r:id="rId9">
        <w:r>
          <w:rPr>
            <w:color w:val="0000EE"/>
            <w:u w:val="single"/>
          </w:rPr>
          <w:t>[3]</w:t>
        </w:r>
      </w:hyperlink>
      <w:r>
        <w:t xml:space="preserve">, </w:t>
      </w:r>
      <w:hyperlink r:id="rId11">
        <w:r>
          <w:rPr>
            <w:color w:val="0000EE"/>
            <w:u w:val="single"/>
          </w:rPr>
          <w:t>[5]</w:t>
        </w:r>
      </w:hyperlink>
      <w:r/>
    </w:p>
    <w:p>
      <w:r/>
      <w:r>
        <w:t xml:space="preserve">For younger readers and viewers, that sense of recognition can still be found in familiar places: a school library, a television screen or a conversation with someone who seems to understand. The details change, but the importance of being able to see a wider range of lives doesn't. </w:t>
      </w:r>
      <w:hyperlink r:id="rId9">
        <w:r>
          <w:rPr>
            <w:color w:val="0000EE"/>
            <w:u w:val="single"/>
          </w:rPr>
          <w:t>[3]</w:t>
        </w:r>
      </w:hyperlink>
      <w:r>
        <w:t xml:space="preserve">, </w:t>
      </w:r>
      <w:hyperlink r:id="rId10">
        <w:r>
          <w:rPr>
            <w:color w:val="0000EE"/>
            <w:u w:val="single"/>
          </w:rPr>
          <w:t>[4]</w:t>
        </w:r>
      </w:hyperlink>
      <w:r>
        <w:t xml:space="preserve">, </w:t>
      </w:r>
      <w:hyperlink r:id="rId14">
        <w:r>
          <w:rPr>
            <w:color w:val="0000EE"/>
            <w:u w:val="single"/>
          </w:rPr>
          <w:t>[6]</w:t>
        </w:r>
      </w:hyperlink>
      <w:r/>
    </w:p>
    <w:p>
      <w:r/>
      <w:r>
        <w:t xml:space="preserve">It's a small reminder that the route to self-understanding can be unexpected, and that the right story sometimes turns up exactly when it's needed. </w:t>
      </w:r>
      <w:hyperlink r:id="rId12">
        <w:r>
          <w:rPr>
            <w:color w:val="0000EE"/>
            <w:u w:val="single"/>
          </w:rPr>
          <w:t>[2]</w:t>
        </w:r>
      </w:hyperlink>
      <w:r>
        <w:t xml:space="preserve">, </w:t>
      </w:r>
      <w:hyperlink r:id="rId9">
        <w:r>
          <w:rPr>
            <w:color w:val="0000EE"/>
            <w:u w:val="single"/>
          </w:rPr>
          <w:t>[3]</w:t>
        </w:r>
      </w:hyperlink>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[3]</w:t>
        </w:r>
      </w:hyperlink>
      <w:r>
        <w:t xml:space="preserve">- Paragraph 2: </w:t>
      </w:r>
      <w:hyperlink r:id="rId9">
        <w:r>
          <w:rPr>
            <w:color w:val="0000EE"/>
            <w:u w:val="single"/>
          </w:rPr>
          <w:t>[3]</w:t>
        </w:r>
      </w:hyperlink>
      <w:r>
        <w:t xml:space="preserve">- Paragraph 3: </w:t>
      </w:r>
      <w:hyperlink r:id="rId9">
        <w:r>
          <w:rPr>
            <w:color w:val="0000EE"/>
            <w:u w:val="single"/>
          </w:rPr>
          <w:t>[3]</w:t>
        </w:r>
      </w:hyperlink>
      <w:r>
        <w:t xml:space="preserve">, </w:t>
      </w:r>
      <w:hyperlink r:id="rId10">
        <w:r>
          <w:rPr>
            <w:color w:val="0000EE"/>
            <w:u w:val="single"/>
          </w:rPr>
          <w:t>[4]</w:t>
        </w:r>
      </w:hyperlink>
      <w:r>
        <w:t xml:space="preserve">- Paragraph 4: </w:t>
      </w:r>
      <w:hyperlink r:id="rId11">
        <w:r>
          <w:rPr>
            <w:color w:val="0000EE"/>
            <w:u w:val="single"/>
          </w:rPr>
          <w:t>[5]</w:t>
        </w:r>
      </w:hyperlink>
      <w:r>
        <w:t xml:space="preserve">- Paragraph 5: </w:t>
      </w:r>
      <w:hyperlink r:id="rId12">
        <w:r>
          <w:rPr>
            <w:color w:val="0000EE"/>
            <w:u w:val="single"/>
          </w:rPr>
          <w:t>[2]</w:t>
        </w:r>
      </w:hyperlink>
      <w:r>
        <w:t xml:space="preserve">, </w:t>
      </w:r>
      <w:hyperlink r:id="rId11">
        <w:r>
          <w:rPr>
            <w:color w:val="0000EE"/>
            <w:u w:val="single"/>
          </w:rPr>
          <w:t>[5]</w:t>
        </w:r>
      </w:hyperlink>
      <w:r>
        <w:t xml:space="preserve">- Paragraph 6: </w:t>
      </w:r>
      <w:hyperlink r:id="rId12">
        <w:r>
          <w:rPr>
            <w:color w:val="0000EE"/>
            <w:u w:val="single"/>
          </w:rPr>
          <w:t>[2]</w:t>
        </w:r>
      </w:hyperlink>
      <w:r>
        <w:t xml:space="preserve">- Paragraph 7: </w:t>
      </w:r>
      <w:hyperlink r:id="rId12">
        <w:r>
          <w:rPr>
            <w:color w:val="0000EE"/>
            <w:u w:val="single"/>
          </w:rPr>
          <w:t>[2]</w:t>
        </w:r>
      </w:hyperlink>
      <w:r>
        <w:t xml:space="preserve">, </w:t>
      </w:r>
      <w:hyperlink r:id="rId13">
        <w:r>
          <w:rPr>
            <w:color w:val="0000EE"/>
            <w:u w:val="single"/>
          </w:rPr>
          <w:t>[7]</w:t>
        </w:r>
      </w:hyperlink>
      <w:r>
        <w:t xml:space="preserve">- Paragraph 8: </w:t>
      </w:r>
      <w:hyperlink r:id="rId13">
        <w:r>
          <w:rPr>
            <w:color w:val="0000EE"/>
            <w:u w:val="single"/>
          </w:rPr>
          <w:t>[7]</w:t>
        </w:r>
      </w:hyperlink>
      <w:r>
        <w:t xml:space="preserve">- Paragraph 9: </w:t>
      </w:r>
      <w:hyperlink r:id="rId12">
        <w:r>
          <w:rPr>
            <w:color w:val="0000EE"/>
            <w:u w:val="single"/>
          </w:rPr>
          <w:t>[2]</w:t>
        </w:r>
      </w:hyperlink>
      <w:r>
        <w:t xml:space="preserve">, </w:t>
      </w:r>
      <w:hyperlink r:id="rId13">
        <w:r>
          <w:rPr>
            <w:color w:val="0000EE"/>
            <w:u w:val="single"/>
          </w:rPr>
          <w:t>[7]</w:t>
        </w:r>
      </w:hyperlink>
      <w:r>
        <w:t xml:space="preserve">- Paragraph 10: </w:t>
      </w:r>
      <w:hyperlink r:id="rId12">
        <w:r>
          <w:rPr>
            <w:color w:val="0000EE"/>
            <w:u w:val="single"/>
          </w:rPr>
          <w:t>[2]</w:t>
        </w:r>
      </w:hyperlink>
      <w:r>
        <w:t xml:space="preserve">- Paragraph 11: </w:t>
      </w:r>
      <w:hyperlink r:id="rId12">
        <w:r>
          <w:rPr>
            <w:color w:val="0000EE"/>
            <w:u w:val="single"/>
          </w:rPr>
          <w:t>[2]</w:t>
        </w:r>
      </w:hyperlink>
      <w:r>
        <w:t xml:space="preserve">, </w:t>
      </w:r>
      <w:hyperlink r:id="rId14">
        <w:r>
          <w:rPr>
            <w:color w:val="0000EE"/>
            <w:u w:val="single"/>
          </w:rPr>
          <w:t>[6]</w:t>
        </w:r>
      </w:hyperlink>
      <w:r>
        <w:t xml:space="preserve">- Paragraph 12: </w:t>
      </w:r>
      <w:hyperlink r:id="rId12">
        <w:r>
          <w:rPr>
            <w:color w:val="0000EE"/>
            <w:u w:val="single"/>
          </w:rPr>
          <w:t>[2]</w:t>
        </w:r>
      </w:hyperlink>
      <w:r>
        <w:t xml:space="preserve">- Paragraph 13: </w:t>
      </w:r>
      <w:hyperlink r:id="rId12">
        <w:r>
          <w:rPr>
            <w:color w:val="0000EE"/>
            <w:u w:val="single"/>
          </w:rPr>
          <w:t>[2]</w:t>
        </w:r>
      </w:hyperlink>
      <w:r>
        <w:t xml:space="preserve">, </w:t>
      </w:r>
      <w:hyperlink r:id="rId9">
        <w:r>
          <w:rPr>
            <w:color w:val="0000EE"/>
            <w:u w:val="single"/>
          </w:rPr>
          <w:t>[3]</w:t>
        </w:r>
      </w:hyperlink>
      <w:r>
        <w:t xml:space="preserve">, </w:t>
      </w:r>
      <w:hyperlink r:id="rId11">
        <w:r>
          <w:rPr>
            <w:color w:val="0000EE"/>
            <w:u w:val="single"/>
          </w:rPr>
          <w:t>[5]</w:t>
        </w:r>
      </w:hyperlink>
      <w:r>
        <w:t xml:space="preserve">- Paragraph 14: </w:t>
      </w:r>
      <w:hyperlink r:id="rId9">
        <w:r>
          <w:rPr>
            <w:color w:val="0000EE"/>
            <w:u w:val="single"/>
          </w:rPr>
          <w:t>[3]</w:t>
        </w:r>
      </w:hyperlink>
      <w:r>
        <w:t xml:space="preserve">, </w:t>
      </w:r>
      <w:hyperlink r:id="rId10">
        <w:r>
          <w:rPr>
            <w:color w:val="0000EE"/>
            <w:u w:val="single"/>
          </w:rPr>
          <w:t>[4]</w:t>
        </w:r>
      </w:hyperlink>
      <w:r>
        <w:t xml:space="preserve">, </w:t>
      </w:r>
      <w:hyperlink r:id="rId14">
        <w:r>
          <w:rPr>
            <w:color w:val="0000EE"/>
            <w:u w:val="single"/>
          </w:rPr>
          <w:t>[6]</w:t>
        </w:r>
      </w:hyperlink>
      <w:r>
        <w:t xml:space="preserve">- Paragraph 15: </w:t>
      </w:r>
      <w:hyperlink r:id="rId12">
        <w:r>
          <w:rPr>
            <w:color w:val="0000EE"/>
            <w:u w:val="single"/>
          </w:rPr>
          <w:t>[2]</w:t>
        </w:r>
      </w:hyperlink>
      <w:r>
        <w:t xml:space="preserve">, </w:t>
      </w:r>
      <w:hyperlink r:id="rId9">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https://www.queerty.com/from-international-male-to-the-jungles-of-vietnam-gay-men-share-their-coming-of-age-moments-20250330/</w:t>
        </w:r>
      </w:hyperlink>
      <w:r>
        <w:t xml:space="preserve"> - Please view link - unable to able to access data</w:t>
      </w:r>
      <w:r/>
    </w:p>
    <w:p>
      <w:pPr>
        <w:pStyle w:val="ListNumber"/>
        <w:spacing w:line="240" w:lineRule="auto"/>
        <w:ind w:left="720"/>
      </w:pPr>
      <w:r/>
      <w:hyperlink r:id="rId12">
        <w:r>
          <w:rPr>
            <w:color w:val="0000EE"/>
            <w:u w:val="single"/>
          </w:rPr>
          <w:t>https://www.queerty.com/from-international-male-to-the-jungles-of-vietnam-gay-men-share-their-coming-of-age-moments-20250330/</w:t>
        </w:r>
      </w:hyperlink>
      <w:r>
        <w:t xml:space="preserve"> - Queerty’s article gathers readers’ accounts of recognising or accepting their gay identities. Their stories describe influential books, films, television characters, fashion catalogues, first crushes, public events and relationships. One reader recalls discovering Edmund White’s A Boy’s Own Story in a library; another credits The Front Runner. Other contributors describe being moved by The Rocky Horror Picture Show, Dawson’s Creek, International Male catalogues and male athletes. The collection also includes a man who came out after opposing Anita Bryant’s campaign, and a Vietnam veteran who found comfort in a fellow soldier. Together, the personal recollections show how varied coming-of-age experiences can be.</w:t>
      </w:r>
      <w:r/>
    </w:p>
    <w:p>
      <w:pPr>
        <w:pStyle w:val="ListNumber"/>
        <w:spacing w:line="240" w:lineRule="auto"/>
        <w:ind w:left="720"/>
      </w:pPr>
      <w:r/>
      <w:hyperlink r:id="rId9">
        <w:r>
          <w:rPr>
            <w:color w:val="0000EE"/>
            <w:u w:val="single"/>
          </w:rPr>
          <w:t>https://www.penguinrandomhouse.com/books/327248/a-boys-own-story-by-edmund-white/</w:t>
        </w:r>
      </w:hyperlink>
      <w:r>
        <w:t xml:space="preserve"> - Penguin Random House presents Edmund White’s A Boy’s Own Story as a novel about a boy coming of age in the 1950s and a groundbreaking portrayal of gay life in American fiction. Its unnamed narrator faces ridicule from classmates, distant parents and a cruel sister. He finds solace in literature, art and imagination while longing for love from men and struggling with shame and self-acceptance. The publisher describes the book as White’s first autobiographical novel and the opening volume of a trilogy, followed by The Beautiful Room Is Empty and The Farewell Symphony. The page includes publication details, a synopsis and extracts from reviews.</w:t>
      </w:r>
      <w:r/>
    </w:p>
    <w:p>
      <w:pPr>
        <w:pStyle w:val="ListNumber"/>
        <w:spacing w:line="240" w:lineRule="auto"/>
        <w:ind w:left="720"/>
      </w:pPr>
      <w:r/>
      <w:hyperlink r:id="rId10">
        <w:r>
          <w:rPr>
            <w:color w:val="0000EE"/>
            <w:u w:val="single"/>
          </w:rPr>
          <w:t>https://exhibitions.london.ac.uk/s/seizedbooks/item/250</w:t>
        </w:r>
      </w:hyperlink>
      <w:r>
        <w:t xml:space="preserve"> - This University of London exhibition entry examines Patricia Nell Warren’s novel The Front Runner and its place in the history of gay fiction. Published by William Morrow in 1974, it became a bestselling novel in the period after the Stonewall uprising, when mainstream publishers increasingly recognised the commercial potential of gay fiction. The story follows Billy Sive, a young gay athlete training for the 1976 Olympics, and his relationship with his older coach. The entry notes that Warren, herself an athlete, regarded publication of the novel as part of her own coming-out process. It also identifies the edition and provides bibliographic and subject information.</w:t>
      </w:r>
      <w:r/>
    </w:p>
    <w:p>
      <w:pPr>
        <w:pStyle w:val="ListNumber"/>
        <w:spacing w:line="240" w:lineRule="auto"/>
        <w:ind w:left="720"/>
      </w:pPr>
      <w:r/>
      <w:hyperlink r:id="rId11">
        <w:r>
          <w:rPr>
            <w:color w:val="0000EE"/>
            <w:u w:val="single"/>
          </w:rPr>
          <w:t>https://www.afi.com/news/rocky-horror-picture-show-1975-afi-catalog-spotlight/</w:t>
        </w:r>
      </w:hyperlink>
      <w:r>
        <w:t xml:space="preserve"> - The American Film Institute’s spotlight describes The Rocky Horror Picture Show as a 1975 film directed by Jim Sharman and adapted with original stage writer Richard O’Brien. Initially regarded as a critical and commercial failure, the film later became a cultural phenomenon. AFI discusses its parody of classic horror films, exploration of gender norms and sexuality, and distinctive audience participation, with fans dressing up, using props and responding to the screen. The article interprets the film’s celebration of queer culture and rejection of conventional American ideals as meaningful to outsiders, particularly LGBTQ+ audiences. It also considers how participatory screenings let viewers express themselves through the film.</w:t>
      </w:r>
      <w:r/>
    </w:p>
    <w:p>
      <w:pPr>
        <w:pStyle w:val="ListNumber"/>
        <w:spacing w:line="240" w:lineRule="auto"/>
        <w:ind w:left="720"/>
      </w:pPr>
      <w:r/>
      <w:hyperlink r:id="rId14">
        <w:r>
          <w:rPr>
            <w:color w:val="0000EE"/>
            <w:u w:val="single"/>
          </w:rPr>
          <w:t>https://www.bobparis.com/about</w:t>
        </w:r>
      </w:hyperlink>
      <w:r>
        <w:t xml:space="preserve"> - Bob Paris’s official biography recounts his development as a professional bodybuilder, actor, writer and LGBTQ+ activist. After serving with the US Marine Corps and attending university, Paris moved to California to pursue bodybuilding and acting. He won the NPC National Championships and the IFBB World Championships in 1983, becoming a prominent competitor. The biography says that in 1989 he publicly came out, first in Ironman Magazine and shortly afterwards on The Oprah Winfrey Show. It describes the activism that followed, including speaking on civil rights and self-esteem and co-founding a foundation supporting LGBTQ+ youth organisations. The page also covers his later writing and personal life.</w:t>
      </w:r>
      <w:r/>
    </w:p>
    <w:p>
      <w:pPr>
        <w:pStyle w:val="ListNumber"/>
        <w:spacing w:line="240" w:lineRule="auto"/>
        <w:ind w:left="720"/>
      </w:pPr>
      <w:r/>
      <w:hyperlink r:id="rId13">
        <w:r>
          <w:rPr>
            <w:color w:val="0000EE"/>
            <w:u w:val="single"/>
          </w:rPr>
          <w:t>https://www.gq.com/story/international-male-fashion-history</w:t>
        </w:r>
      </w:hyperlink>
      <w:r>
        <w:t xml:space="preserve"> - GQ traces the history and cultural influence of International Male, the mail-order catalogue known for fashion-forward menswear and revealing photographs of male models. The article recounts how founder Gene Burkard began with a San Diego underwear and loungewear shop after returning from Europe, then developed a mail-order business. The first International Male catalogue appeared in 1976. GQ explains how its images presented men as objects of desire and created a distinctive visual world that resonated with many gay readers, even though it was not marketed as a gay publication. The article also connects the catalogue’s aesthetic to later menswear advertising and changing ideas about masculinity.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enguinrandomhouse.com/books/327248/a-boys-own-story-by-edmund-white/" TargetMode="External"/><Relationship Id="rId10" Type="http://schemas.openxmlformats.org/officeDocument/2006/relationships/hyperlink" Target="https://exhibitions.london.ac.uk/s/seizedbooks/item/250" TargetMode="External"/><Relationship Id="rId11" Type="http://schemas.openxmlformats.org/officeDocument/2006/relationships/hyperlink" Target="https://www.afi.com/news/rocky-horror-picture-show-1975-afi-catalog-spotlight/" TargetMode="External"/><Relationship Id="rId12" Type="http://schemas.openxmlformats.org/officeDocument/2006/relationships/hyperlink" Target="https://www.queerty.com/from-international-male-to-the-jungles-of-vietnam-gay-men-share-their-coming-of-age-moments-20250330/" TargetMode="External"/><Relationship Id="rId13" Type="http://schemas.openxmlformats.org/officeDocument/2006/relationships/hyperlink" Target="https://www.gq.com/story/international-male-fashion-history" TargetMode="External"/><Relationship Id="rId14" Type="http://schemas.openxmlformats.org/officeDocument/2006/relationships/hyperlink" Target="https://www.bobparis.com/abou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