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Wellness Needs More Than Generic Health Advice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are questioning whether mainstream wellness advice truly serves LGBTQ+ communities, especially when identity, discrimination, body image and access to care shape everyday health. A more inclusive approach looks beyond perfect routines, recognising that nutrition, exercise and recovery are influenced by lived experience, stress, finances and safety.</w:t>
      </w:r>
      <w:r/>
    </w:p>
    <w:p>
      <w:pPr>
        <w:pStyle w:val="Heading2"/>
      </w:pPr>
      <w:r>
        <w:t>Essential Takeaways</w:t>
      </w:r>
      <w:r/>
      <w:r/>
    </w:p>
    <w:p>
      <w:pPr>
        <w:pStyle w:val="ListBullet"/>
        <w:spacing w:line="240" w:lineRule="auto"/>
        <w:ind w:left="720"/>
      </w:pPr>
      <w:r/>
      <w:r>
        <w:rPr>
          <w:b/>
        </w:rPr>
        <w:t>Wellness isn't neutral:</w:t>
      </w:r>
      <w:r>
        <w:t xml:space="preserve"> Standard advice often assumes stable finances, flexible routines and a comfortable relationship with food and exercise.</w:t>
      </w:r>
      <w:r/>
    </w:p>
    <w:p>
      <w:pPr>
        <w:pStyle w:val="ListBullet"/>
        <w:spacing w:line="240" w:lineRule="auto"/>
        <w:ind w:left="720"/>
      </w:pPr>
      <w:r/>
      <w:r>
        <w:rPr>
          <w:b/>
        </w:rPr>
        <w:t>Discrimination affects care:</w:t>
      </w:r>
      <w:r>
        <w:t xml:space="preserve"> LGBTQ+ people may delay or avoid healthcare after negative experiences or fear of bias.</w:t>
      </w:r>
      <w:r/>
    </w:p>
    <w:p>
      <w:pPr>
        <w:pStyle w:val="ListBullet"/>
        <w:spacing w:line="240" w:lineRule="auto"/>
        <w:ind w:left="720"/>
      </w:pPr>
      <w:r/>
      <w:r>
        <w:rPr>
          <w:b/>
        </w:rPr>
        <w:t>Context matters:</w:t>
      </w:r>
      <w:r>
        <w:t xml:space="preserve"> Stress, body-image pressure, neurodivergence, gender dysphoria and medication can all influence health choices.</w:t>
      </w:r>
      <w:r/>
    </w:p>
    <w:p>
      <w:pPr>
        <w:pStyle w:val="ListBullet"/>
        <w:spacing w:line="240" w:lineRule="auto"/>
        <w:ind w:left="720"/>
      </w:pPr>
      <w:r/>
      <w:r>
        <w:rPr>
          <w:b/>
        </w:rPr>
        <w:t>Practical support beats perfection:</w:t>
      </w:r>
      <w:r>
        <w:t xml:space="preserve"> Advice should cover sleep, digestion, mental health, sexual wellbeing and recovery without moralising.</w:t>
      </w:r>
      <w:r/>
    </w:p>
    <w:p>
      <w:pPr>
        <w:pStyle w:val="ListBullet"/>
        <w:spacing w:line="240" w:lineRule="auto"/>
        <w:ind w:left="720"/>
      </w:pPr>
      <w:r/>
      <w:r>
        <w:rPr>
          <w:b/>
        </w:rPr>
        <w:t>Inclusive care needs substance:</w:t>
      </w:r>
      <w:r>
        <w:t xml:space="preserve"> A rainbow logo helps less than informed, respectful professionals who ask better questions.</w:t>
      </w:r>
      <w:r/>
      <w:r/>
    </w:p>
    <w:p>
      <w:pPr>
        <w:pStyle w:val="Heading2"/>
      </w:pPr>
      <w:r>
        <w:t>The wellness rulebook doesn't fit everyone</w:t>
      </w:r>
      <w:r/>
    </w:p>
    <w:p>
      <w:r/>
      <w:r>
        <w:t>Mainstream wellness often arrives as a neat checklist: train regularly, eat carefully, sleep perfectly and never stray too far from the plan. It can sound motivating, but for many people it creates another source of pressure, particularly when health becomes a test of discipline rather than a tool for living well.</w:t>
      </w:r>
      <w:r/>
    </w:p>
    <w:p>
      <w:r/>
      <w:r>
        <w:t>That matters for LGBTQ+ people because health behaviours don't develop in isolation. Research collected by Cornell University's What We Know project links discrimination against LGBT people with poorer physical and mental health outcomes, while broader healthcare research points to the lasting effects of stigma and unequal treatment.</w:t>
      </w:r>
      <w:r/>
    </w:p>
    <w:p>
      <w:r/>
      <w:r>
        <w:t>A routine that looks impressively controlled from the outside might be driven by anxiety, body shame or a desire to regain control. Conversely, someone who can't maintain a perfect schedule may be coping with stress, exhaustion, financial strain or a healthcare system that hasn't felt safe. Judging both people by the same wellness score misses the point.</w:t>
      </w:r>
      <w:r/>
    </w:p>
    <w:p>
      <w:pPr>
        <w:pStyle w:val="Heading2"/>
      </w:pPr>
      <w:r>
        <w:t>Healthcare access is part of the wellness story</w:t>
      </w:r>
      <w:r/>
    </w:p>
    <w:p>
      <w:r/>
      <w:r>
        <w:t>Health advice is only useful if people feel able to seek help in the first place. KFF's research on LGBT adults highlights experiences of discrimination and disparities in healthcare, including concerns about being misunderstood or treated unfairly.</w:t>
      </w:r>
      <w:r/>
    </w:p>
    <w:p>
      <w:r/>
      <w:r>
        <w:t>Those concerns can have practical consequences. Someone may postpone an appointment, avoid discussing sexual health or leave important details out because explaining their identity feels exhausting. The result isn't simply a communication problem; it can affect prevention, diagnosis and treatment.</w:t>
      </w:r>
      <w:r/>
    </w:p>
    <w:p>
      <w:r/>
      <w:r>
        <w:t>KFF's LGBTQ+ health policy overview also notes that health outcomes are shaped by social conditions, access to care and discrimination, rather than identity alone. That's an important distinction. LGBTQ+ people don't need to be treated as a single medical category, but professionals do need to understand the circumstances that can affect their health.</w:t>
      </w:r>
      <w:r/>
    </w:p>
    <w:p>
      <w:pPr>
        <w:pStyle w:val="Heading2"/>
      </w:pPr>
      <w:r>
        <w:t>The missing conversation is everyday wellbeing</w:t>
      </w:r>
      <w:r/>
    </w:p>
    <w:p>
      <w:r/>
      <w:r>
        <w:t>Public discussion of LGBTQ+ health often focuses on major risks, while everyday concerns receive less attention. Digestion, sleep, energy, skin, mental health, fertility, family building and sexual confidence all belong in the conversation too.</w:t>
      </w:r>
      <w:r/>
    </w:p>
    <w:p>
      <w:r/>
      <w:r>
        <w:t>Nutrition can play a supporting role in many of these areas, but it shouldn't be presented as a cure-all. A person managing medication, hormone treatment, an eating disorder, chronic stress or a digestive condition may need tailored guidance, not another generic list of foods to avoid.</w:t>
      </w:r>
      <w:r/>
    </w:p>
    <w:p>
      <w:r/>
      <w:r>
        <w:t>Research published in Advances in Nutrition reinforces the value of considering dietary patterns within wider social and behavioural contexts. In other words, what someone eats is connected to where they live, what they can afford, how they feel and whether their routine is realistically sustainable.</w:t>
      </w:r>
      <w:r/>
    </w:p>
    <w:p>
      <w:pPr>
        <w:pStyle w:val="Heading2"/>
      </w:pPr>
      <w:r>
        <w:t>Why body image and minority stress matter</w:t>
      </w:r>
      <w:r/>
    </w:p>
    <w:p>
      <w:r/>
      <w:r>
        <w:t>Body ideals can be especially intense in parts of queer culture, from muscularity expectations among gay men to pressures around femininity, weight and presentation. These standards can make exercise and food feel less like sources of enjoyment and more like constant auditions.</w:t>
      </w:r>
      <w:r/>
    </w:p>
    <w:p>
      <w:r/>
      <w:r>
        <w:t>Scientific literature reviewed by Cornell describes how minority stress can affect LGBTQ+ health over time. Repeated exposure to rejection, concealment, hostility or social pressure may influence sleep, mood, substance use and relationships with the body.</w:t>
      </w:r>
      <w:r/>
    </w:p>
    <w:p>
      <w:r/>
      <w:r>
        <w:t>That doesn't mean every queer person has the same experience. It does mean a useful practitioner should ask what a behaviour is doing for someone. Is exercise energising, or is missing a session frightening? Is careful eating nourishing, or has it become a rigid form of control? Those questions are more revealing than a simple measure of compliance.</w:t>
      </w:r>
      <w:r/>
    </w:p>
    <w:p>
      <w:pPr>
        <w:pStyle w:val="Heading2"/>
      </w:pPr>
      <w:r>
        <w:t>What better, more inclusive advice looks like</w:t>
      </w:r>
      <w:r/>
    </w:p>
    <w:p>
      <w:r/>
      <w:r>
        <w:t>Good care starts with curiosity rather than assumptions. A clinician might ask about pronouns and identity, but also about safety, medication, relationships, food access, sleep, stress and what the person actually wants to change. Respectful language is important, yet informed practice has to go further than a welcoming poster.</w:t>
      </w:r>
      <w:r/>
    </w:p>
    <w:p>
      <w:r/>
      <w:r>
        <w:t>A 2026 study in BMC Health Services Research adds to the growing evidence that inclusive healthcare depends on organisational culture and the quality of interactions, not just individual goodwill. Training, clear policies and accountability matter because patients shouldn't have to educate every professional they meet.</w:t>
      </w:r>
      <w:r/>
    </w:p>
    <w:p>
      <w:r/>
      <w:r>
        <w:t>For anyone seeking support, it's reasonable to look for a practitioner who understands LGBTQ+ health and avoids shame-based advice. Bring a list of medications and supplements, be honest about goals and barriers, and ask how recommendations fit your circumstances. The best plan is rarely the most intense one; it's the one you can follow without feeling that your identity is a problem to solve.</w:t>
      </w:r>
      <w:r/>
    </w:p>
    <w:p>
      <w:r/>
      <w:r>
        <w:t>Wellness works better when it makes room for real life, not just polished routines.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1">
        <w:r>
          <w:rPr>
            <w:color w:val="0000EE"/>
            <w:u w:val="single"/>
          </w:rPr>
          <w:t>[5]</w:t>
        </w:r>
      </w:hyperlink>
      <w:r>
        <w:t xml:space="preserve">, </w:t>
      </w:r>
      <w:hyperlink r:id="rId14">
        <w:r>
          <w:rPr>
            <w:color w:val="0000EE"/>
            <w:u w:val="single"/>
          </w:rPr>
          <w:t>[7]</w:t>
        </w:r>
      </w:hyperlink>
      <w:r>
        <w:t xml:space="preserve">- Paragraph 9: </w:t>
      </w:r>
      <w:hyperlink r:id="rId15">
        <w:r>
          <w:rPr>
            <w:color w:val="0000EE"/>
            <w:u w:val="single"/>
          </w:rPr>
          <w:t>[6]</w:t>
        </w:r>
      </w:hyperlink>
      <w:r>
        <w:t xml:space="preserve">, </w:t>
      </w:r>
      <w:hyperlink r:id="rId14">
        <w:r>
          <w:rPr>
            <w:color w:val="0000EE"/>
            <w:u w:val="single"/>
          </w:rPr>
          <w:t>[7]</w:t>
        </w:r>
      </w:hyperlink>
      <w:r>
        <w:t xml:space="preserve">- Paragraph 10: </w:t>
      </w:r>
      <w:hyperlink r:id="rId11">
        <w:r>
          <w:rPr>
            <w:color w:val="0000EE"/>
            <w:u w:val="single"/>
          </w:rPr>
          <w:t>[5]</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3">
        <w:r>
          <w:rPr>
            <w:color w:val="0000EE"/>
            <w:u w:val="single"/>
          </w:rPr>
          <w:t>[4]</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2">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https://www.huffingtonpost.co.uk/entry/what-wellness-gets-wrong-about-queer-health_uk_6ae33df7e4b0a2cccd46a617</w:t>
        </w:r>
      </w:hyperlink>
      <w:r>
        <w:t xml:space="preserve"> - Please view link - unable to able to access data</w:t>
      </w:r>
      <w:r/>
    </w:p>
    <w:p>
      <w:pPr>
        <w:pStyle w:val="ListNumber"/>
        <w:spacing w:line="240" w:lineRule="auto"/>
        <w:ind w:left="720"/>
      </w:pPr>
      <w:r/>
      <w:hyperlink r:id="rId10">
        <w:r>
          <w:rPr>
            <w:color w:val="0000EE"/>
            <w:u w:val="single"/>
          </w:rPr>
          <w:t>https://www.kff.org/racial-equity-and-health-policy/lgbt-adults-experiences-with-discrimination-and-health-care-disparities-findings-from-the-kff-survey-of-racism-discrimination-and-health/</w:t>
        </w:r>
      </w:hyperlink>
      <w:r>
        <w:t xml:space="preserve"> - A survey by the Kaiser Family Foundation reveals that LGBT adults in the U.S. face significant health disparities, including increased mental health challenges and barriers to care. The study highlights that LGBT adults are more likely to report fair or poor mental health compared to non-LGBT adults, with younger individuals and those with lower incomes being particularly affected. These disparities are compounded by experiences of discrimination and stigma, which contribute to poorer health outcomes and reduced access to necessary healthcare services.</w:t>
      </w:r>
      <w:r/>
    </w:p>
    <w:p>
      <w:pPr>
        <w:pStyle w:val="ListNumber"/>
        <w:spacing w:line="240" w:lineRule="auto"/>
        <w:ind w:left="720"/>
      </w:pPr>
      <w:r/>
      <w:hyperlink r:id="rId12">
        <w:r>
          <w:rPr>
            <w:color w:val="0000EE"/>
            <w:u w:val="single"/>
          </w:rPr>
          <w:t>https://www.kff.org/lgbtq/health-policy-101-lgbtq-health-policy/</w:t>
        </w:r>
      </w:hyperlink>
      <w:r>
        <w:t xml:space="preserve"> - The Kaiser Family Foundation provides an overview of LGBTQ+ health policies, highlighting disparities in chronic conditions, mental health, and access to care. Studies indicate higher rates of diabetes among lesbians and gay and bisexual men, as well as increased cardiovascular diseases and cancers in certain populations. Additionally, LGBTQ+ individuals face greater mental health challenges, with higher rates of depression and anxiety compared to non-LGBTQ+ individuals. These disparities are influenced by factors such as stigma, discrimination, and limited access to culturally competent healthcare services.</w:t>
      </w:r>
      <w:r/>
    </w:p>
    <w:p>
      <w:pPr>
        <w:pStyle w:val="ListNumber"/>
        <w:spacing w:line="240" w:lineRule="auto"/>
        <w:ind w:left="720"/>
      </w:pPr>
      <w:r/>
      <w:hyperlink r:id="rId13">
        <w:r>
          <w:rPr>
            <w:color w:val="0000EE"/>
            <w:u w:val="single"/>
          </w:rPr>
          <w:t>https://link.springer.com/article/10.1186/s12913-026-14432-2</w:t>
        </w:r>
      </w:hyperlink>
      <w:r>
        <w:t xml:space="preserve"> - A study published in BMC Health Services Research examines the structural barriers and need for affirming care for LGBTQ+ young adults. The research highlights that LGBTQ+ young adults experience disproportionately high levels of psychological distress due to unique identity-based stressors, including rejection from family or peers, heterosexism, internalized homophobia, and identity concealment. These stressors contribute to elevated rates of depression, anxiety, substance use, and suicidal behavior among this population. The study emphasizes the importance of affirming healthcare environments and provider training to address these disparities.</w:t>
      </w:r>
      <w:r/>
    </w:p>
    <w:p>
      <w:pPr>
        <w:pStyle w:val="ListNumber"/>
        <w:spacing w:line="240" w:lineRule="auto"/>
        <w:ind w:left="720"/>
      </w:pPr>
      <w:r/>
      <w:hyperlink r:id="rId11">
        <w:r>
          <w:rPr>
            <w:color w:val="0000EE"/>
            <w:u w:val="single"/>
          </w:rPr>
          <w:t>https://whatweknow.inequality.cornell.edu/topics/lgbt-equality/what-does-scholarly-research-say-about-the-effects-of-discrimination-on-the-health-of-lgbt-people/</w:t>
        </w:r>
      </w:hyperlink>
      <w:r>
        <w:t xml:space="preserve"> - A systematic literature review conducted by Cornell University assesses the effects of discrimination on the health of LGBT individuals. The review found that 95% of the 300 peer-reviewed studies included in the analysis reported that discrimination based on sexual orientation or gender identity is associated with mental and physical health harms for LGBT people. These findings underscore the significant impact of societal stigma and discrimination on the well-being of sexual and gender minorities.</w:t>
      </w:r>
      <w:r/>
    </w:p>
    <w:p>
      <w:pPr>
        <w:pStyle w:val="ListNumber"/>
        <w:spacing w:line="240" w:lineRule="auto"/>
        <w:ind w:left="720"/>
      </w:pPr>
      <w:r/>
      <w:hyperlink r:id="rId15">
        <w:r>
          <w:rPr>
            <w:color w:val="0000EE"/>
            <w:u w:val="single"/>
          </w:rPr>
          <w:t>https://advances.nutrition.org/article/S2161-8313%2823%2901348-0/fulltext</w:t>
        </w:r>
      </w:hyperlink>
      <w:r>
        <w:t xml:space="preserve"> - A narrative review published in Advances in Nutrition examines nutrition and health within the lesbian, gay, bisexual, transgender, queer/questioning (LGBTQ+) community. The review highlights that sexual and gender minorities have a higher risk for health and nutrition-related disparities compared to the heterosexual or cisgender population. Experiences of stigmatization and discrimination are associated with diminished mental health quality and psychological distress, which are risk factors for developing various eating disorders. The review also discusses other nutrition disparities, including increased risk for food insecurity, body dissatisfaction, and weight complications, particularly among transgender individuals undergoing gender-affirming hormone therapies.</w:t>
      </w:r>
      <w:r/>
    </w:p>
    <w:p>
      <w:pPr>
        <w:pStyle w:val="ListNumber"/>
        <w:spacing w:line="240" w:lineRule="auto"/>
        <w:ind w:left="720"/>
      </w:pPr>
      <w:r/>
      <w:hyperlink r:id="rId14">
        <w:r>
          <w:rPr>
            <w:color w:val="0000EE"/>
            <w:u w:val="single"/>
          </w:rPr>
          <w:t>https://www.sciencedirect.com/science/article/pii/S0095454321000099</w:t>
        </w:r>
      </w:hyperlink>
      <w:r>
        <w:t xml:space="preserve"> - An article published in Primary Care: Clinics in Office Practice discusses sexual and gender minority health care disparities, focusing on barriers to care and strategies to bridge the gap. The article highlights that sexual and gender minority individuals face numerous disparities in physical and mental health outcomes, social determinants of health, and access to healthcare. These disparities are strongly linked to high levels of interpersonal and systemic discrimination, violence, prejudice, and oppression, leading to minority stress. The article emphasizes the need for healthcare providers to be aware of these disparities and to implement strategies to provide equitable care for sexual and gender minority patients.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uffingtonpost.co.uk/entry/what-wellness-gets-wrong-about-queer-health_uk_6ae33df7e4b0a2cccd46a617" TargetMode="External"/><Relationship Id="rId10" Type="http://schemas.openxmlformats.org/officeDocument/2006/relationships/hyperlink" Target="https://www.kff.org/racial-equity-and-health-policy/lgbt-adults-experiences-with-discrimination-and-health-care-disparities-findings-from-the-kff-survey-of-racism-discrimination-and-health/" TargetMode="External"/><Relationship Id="rId11" Type="http://schemas.openxmlformats.org/officeDocument/2006/relationships/hyperlink" Target="https://whatweknow.inequality.cornell.edu/topics/lgbt-equality/what-does-scholarly-research-say-about-the-effects-of-discrimination-on-the-health-of-lgbt-people/" TargetMode="External"/><Relationship Id="rId12" Type="http://schemas.openxmlformats.org/officeDocument/2006/relationships/hyperlink" Target="https://www.kff.org/lgbtq/health-policy-101-lgbtq-health-policy/" TargetMode="External"/><Relationship Id="rId13" Type="http://schemas.openxmlformats.org/officeDocument/2006/relationships/hyperlink" Target="https://link.springer.com/article/10.1186/s12913-026-14432-2" TargetMode="External"/><Relationship Id="rId14" Type="http://schemas.openxmlformats.org/officeDocument/2006/relationships/hyperlink" Target="https://www.sciencedirect.com/science/article/pii/S0095454321000099" TargetMode="External"/><Relationship Id="rId15" Type="http://schemas.openxmlformats.org/officeDocument/2006/relationships/hyperlink" Target="https://advances.nutrition.org/article/S2161-8313%2823%2901348-0/fulltex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