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America’s Trans Sports Debate Misses Real Risks to Children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Voters and families are facing a growing wave of disputes over transgender pupils in school sport and healthcare, even as gun violence and other dangers remain urgent concerns. Across the US, proposed rules are reshaping school life, but the evidence suggests the loudest political claims often sit far apart from what actually happens in classrooms and clinics.</w:t>
      </w:r>
      <w:r/>
    </w:p>
    <w:p>
      <w:pPr>
        <w:pStyle w:val="Heading2"/>
      </w:pPr>
      <w:r>
        <w:t>The political spotlight is fixed on trans pupils</w:t>
      </w:r>
      <w:r/>
    </w:p>
    <w:p>
      <w:r/>
      <w:r>
        <w:t>A striking feature of America’s current culture war is how much attention is being directed at transgender children and teenagers. Ballot campaigns, court fights and state legislation increasingly focus on which teams pupils can join, what healthcare they may receive and how schools should handle gender identity.</w:t>
      </w:r>
      <w:r/>
    </w:p>
    <w:p>
      <w:r/>
      <w:r>
        <w:t>The debate feels especially intense because school sport is an unusually visible part of childhood. A changing room, a team sheet or a race can be turned into a national argument almost overnight. Meanwhile, families dealing with quieter but more common problems, from poverty to bullying and unsafe housing, rarely receive the same political oxygen.</w:t>
      </w:r>
      <w:r/>
    </w:p>
    <w:p>
      <w:r/>
      <w:r>
        <w:t>The Associated Press has reported on the spread of measures targeting transgender participation and gender-affirming care, showing how quickly local policy disputes have become part of a wider national campaign. For parents, that can leave a simple question buried beneath the noise: what problem is a proposed rule actually solving?</w:t>
      </w:r>
      <w:r/>
    </w:p>
    <w:p>
      <w:pPr>
        <w:pStyle w:val="Heading2"/>
      </w:pPr>
      <w:r>
        <w:t>School shootings remain a far more tangible threat</w:t>
      </w:r>
      <w:r/>
    </w:p>
    <w:p>
      <w:r/>
      <w:r>
        <w:t>The contrast is hard to ignore. The US continues to record school shooting incidents, even though the chance of any individual pupil experiencing one remains statistically low. That rarity doesn't make the fear, disruption or human cost any less real for the communities affected.</w:t>
      </w:r>
      <w:r/>
    </w:p>
    <w:p>
      <w:r/>
      <w:r>
        <w:t>Statista's tracking of school shootings illustrates the scale of the long-running problem, while Associated Press reporting has documented the political and social consequences after attacks. Schools conduct lockdown drills, children learn emergency routines and parents worry about whether a normal morning goodbye will remain normal.</w:t>
      </w:r>
      <w:r/>
    </w:p>
    <w:p>
      <w:r/>
      <w:r>
        <w:t>None of this means other safety questions are irrelevant. It does mean priorities deserve scrutiny. When lawmakers spend enormous energy policing a small, marginalised group, families are entitled to ask why equally forceful action isn't being directed at threats that have repeatedly caused death and trauma.</w:t>
      </w:r>
      <w:r/>
    </w:p>
    <w:p>
      <w:pPr>
        <w:pStyle w:val="Heading2"/>
      </w:pPr>
      <w:r>
        <w:t>What the rules actually say about trans athletes</w:t>
      </w:r>
      <w:r/>
    </w:p>
    <w:p>
      <w:r/>
      <w:r>
        <w:t>Policies for transgender athletes vary sharply between states, school systems and sporting bodies. Some allow pupils to compete according to their gender identity, some impose eligibility conditions and others prohibit participation in certain categories altogether.</w:t>
      </w:r>
      <w:r/>
    </w:p>
    <w:p>
      <w:r/>
      <w:r>
        <w:t>The practical details matter. A rule for elite adult competition isn't automatically suitable for a primary-school PE lesson, where participation, confidence and basic physical activity are usually the main goals. Yet public arguments often flatten those distinctions into dramatic claims about fairness and danger.</w:t>
      </w:r>
      <w:r/>
    </w:p>
    <w:p>
      <w:r/>
      <w:r>
        <w:t>TransAthlete's overview of high-school policies shows just how fragmented the landscape has become. The legal dispute in Doe v Horne, tracked by the National Centre for Lesbian Rights, also demonstrates that these policies are not abstract: they affect individual pupils trying to attend school and take part in ordinary activities.</w:t>
      </w:r>
      <w:r/>
    </w:p>
    <w:p>
      <w:pPr>
        <w:pStyle w:val="Heading2"/>
      </w:pPr>
      <w:r>
        <w:t>Why sweeping claims need careful checking</w:t>
      </w:r>
      <w:r/>
    </w:p>
    <w:p>
      <w:r/>
      <w:r>
        <w:t>Political rhetoric often relies on vivid scenarios because they are memorable. But a striking story isn't the same as evidence, particularly when it suggests schools are secretly arranging major medical procedures for children.</w:t>
      </w:r>
      <w:r/>
    </w:p>
    <w:p>
      <w:r/>
      <w:r>
        <w:t>Associated Press reporting has examined claims about gender-affirming treatment and the realities of care. The broad picture is much less sensational than campaign speeches imply: medical decisions involve families and clinicians, and the rules around minors are complex, tightly contested and different from state to state.</w:t>
      </w:r>
      <w:r/>
    </w:p>
    <w:p>
      <w:r/>
      <w:r>
        <w:t>That doesn't make every policy question easy. Parents can reasonably want clear information about consent, safeguarding, sport and medical treatment. But good policy starts with verifiable facts, not an imagined scenario designed to provoke panic.</w:t>
      </w:r>
      <w:r/>
    </w:p>
    <w:p>
      <w:pPr>
        <w:pStyle w:val="Heading2"/>
      </w:pPr>
      <w:r>
        <w:t>A better conversation would focus on safety</w:t>
      </w:r>
      <w:r/>
    </w:p>
    <w:p>
      <w:r/>
      <w:r>
        <w:t>There are genuine concerns facing children across the US, including gun violence, abuse, homelessness, food insecurity, pollution and gaps in healthcare. Some are highly visible after a crisis; others remain largely hidden because they unfold slowly, behind closed doors.</w:t>
      </w:r>
      <w:r/>
    </w:p>
    <w:p>
      <w:r/>
      <w:r>
        <w:t>The Associated Press has highlighted the consequences of policies affecting transgender young people, while legal and civil-rights groups continue to challenge rules they argue discriminate against pupils. Whatever someone's view on the politics, excluding children from school life can carry emotional and practical costs.</w:t>
      </w:r>
      <w:r/>
    </w:p>
    <w:p>
      <w:r/>
      <w:r>
        <w:t>A calmer approach would separate age groups, medical questions, sport-specific issues and school safeguarding rather than bundling them into one ideological fight. Children deserve rules that are evidence-led, proportionate and humane. They also deserve adults who can recognise a real danger without inventing one.</w:t>
      </w:r>
      <w:r/>
    </w:p>
    <w:p>
      <w:r/>
      <w:r>
        <w:t>The next election cycle will likely bring more arguments over trans pupils, but voters can still ask the most useful question: will this policy make children safer in a measurable way?</w:t>
      </w:r>
      <w:r/>
    </w:p>
    <w:p>
      <w:r/>
      <w:r>
        <w:t>Small facts matter, especially when the politics are loud.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0">
        <w:r>
          <w:rPr>
            <w:color w:val="0000EE"/>
            <w:u w:val="single"/>
          </w:rPr>
          <w:t>[3]</w:t>
        </w:r>
      </w:hyperlink>
      <w:r>
        <w:t xml:space="preserve">, </w:t>
      </w:r>
      <w:hyperlink r:id="rId13">
        <w:r>
          <w:rPr>
            <w:color w:val="0000EE"/>
            <w:u w:val="single"/>
          </w:rPr>
          <w:t>[5]</w:t>
        </w:r>
      </w:hyperlink>
      <w:r>
        <w:t xml:space="preserve">- Paragraph 4: </w:t>
      </w:r>
      <w:hyperlink r:id="rId14">
        <w:r>
          <w:rPr>
            <w:color w:val="0000EE"/>
            <w:u w:val="single"/>
          </w:rPr>
          <w:t>[2]</w:t>
        </w:r>
      </w:hyperlink>
      <w:r>
        <w:t xml:space="preserve">, </w:t>
      </w:r>
      <w:hyperlink r:id="rId11">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[3]</w:t>
        </w:r>
      </w:hyperlink>
      <w:r>
        <w:t xml:space="preserve">, </w:t>
      </w:r>
      <w:hyperlink r:id="rId12">
        <w:r>
          <w:rPr>
            <w:color w:val="0000EE"/>
            <w:u w:val="single"/>
          </w:rPr>
          <w:t>[7]</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4">
        <w:r>
          <w:rPr>
            <w:color w:val="0000EE"/>
            <w:u w:val="single"/>
          </w:rPr>
          <w:t>[2]</w:t>
        </w:r>
      </w:hyperlink>
      <w:r>
        <w:t xml:space="preserve">, </w:t>
      </w:r>
      <w:hyperlink r:id="rId11">
        <w:r>
          <w:rPr>
            <w:color w:val="0000EE"/>
            <w:u w:val="single"/>
          </w:rPr>
          <w:t>[4]</w:t>
        </w:r>
      </w:hyperlink>
      <w:r>
        <w:t xml:space="preserve">- Paragraph 10: </w:t>
      </w:r>
      <w:hyperlink r:id="rId15">
        <w:r>
          <w:rPr>
            <w:color w:val="0000EE"/>
            <w:u w:val="single"/>
          </w:rPr>
          <w:t>[6]</w:t>
        </w:r>
      </w:hyperlink>
      <w:r>
        <w:t xml:space="preserve">, </w:t>
      </w:r>
      <w:hyperlink r:id="rId12">
        <w:r>
          <w:rPr>
            <w:color w:val="0000EE"/>
            <w:u w:val="single"/>
          </w:rPr>
          <w:t>[7]</w:t>
        </w:r>
      </w:hyperlink>
      <w:r>
        <w:t xml:space="preserve">- Paragraph 11: </w:t>
      </w:r>
      <w:hyperlink r:id="rId10">
        <w:r>
          <w:rPr>
            <w:color w:val="0000EE"/>
            <w:u w:val="single"/>
          </w:rPr>
          <w:t>[3]</w:t>
        </w:r>
      </w:hyperlink>
      <w:r>
        <w:t xml:space="preserve">, </w:t>
      </w:r>
      <w:hyperlink r:id="rId13">
        <w:r>
          <w:rPr>
            <w:color w:val="0000EE"/>
            <w:u w:val="single"/>
          </w:rPr>
          <w:t>[5]</w:t>
        </w:r>
      </w:hyperlink>
      <w:r>
        <w:t xml:space="preserve">- Paragraph 12: </w:t>
      </w:r>
      <w:hyperlink r:id="rId11">
        <w:r>
          <w:rPr>
            <w:color w:val="0000EE"/>
            <w:u w:val="single"/>
          </w:rPr>
          <w:t>[4]</w:t>
        </w:r>
      </w:hyperlink>
      <w:r>
        <w:t xml:space="preserve">, </w:t>
      </w:r>
      <w:hyperlink r:id="rId15">
        <w:r>
          <w:rPr>
            <w:color w:val="0000EE"/>
            <w:u w:val="single"/>
          </w:rPr>
          <w:t>[6]</w:t>
        </w:r>
      </w:hyperlink>
      <w:r>
        <w:t xml:space="preserve">- Paragraph 13: </w:t>
      </w:r>
      <w:hyperlink r:id="rId14">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https://qburgh.com/republican-fixation-on-trans-kids/</w:t>
        </w:r>
      </w:hyperlink>
      <w:r>
        <w:t xml:space="preserve"> - Please view link - unable to able to access data</w:t>
      </w:r>
      <w:r/>
    </w:p>
    <w:p>
      <w:pPr>
        <w:pStyle w:val="ListNumber"/>
        <w:spacing w:line="240" w:lineRule="auto"/>
        <w:ind w:left="720"/>
      </w:pPr>
      <w:r/>
      <w:hyperlink r:id="rId14">
        <w:r>
          <w:rPr>
            <w:color w:val="0000EE"/>
            <w:u w:val="single"/>
          </w:rPr>
          <w:t>https://www.statista.com/topics/12276/school-shootings-in-the-united-states/</w:t>
        </w:r>
      </w:hyperlink>
      <w:r>
        <w:t xml:space="preserve"> - This article provides comprehensive statistics and facts about school shootings in the United States. It highlights the prevalence of such incidents, noting that between 2009 and 2018, the U.S. recorded 57 times as many school shootings compared to other high-income nations. The article also discusses the increasing deadliness of these events and the unique position of the U.S. as the only major industrialized country where firearms are the leading cause of death for children and teens as of 2019.</w:t>
      </w:r>
      <w:r/>
    </w:p>
    <w:p>
      <w:pPr>
        <w:pStyle w:val="ListNumber"/>
        <w:spacing w:line="240" w:lineRule="auto"/>
        <w:ind w:left="720"/>
      </w:pPr>
      <w:r/>
      <w:hyperlink r:id="rId10">
        <w:r>
          <w:rPr>
            <w:color w:val="0000EE"/>
            <w:u w:val="single"/>
          </w:rPr>
          <w:t>https://www.apnews.com/article/7c11cbd85a5c6da201ef2f12324d38d2</w:t>
        </w:r>
      </w:hyperlink>
      <w:r>
        <w:t xml:space="preserve"> - This article reports on ballot measures in Colorado and Washington that propose banning transgender girls and women from participating in female school sports. It discusses the context of these measures, noting that both states' elected officials have previously rejected similar legislation, leading activists to place the bans directly on the ballot. The article also touches on the broader national debate over transgender athletes and the varying public opinions on the issue.</w:t>
      </w:r>
      <w:r/>
    </w:p>
    <w:p>
      <w:pPr>
        <w:pStyle w:val="ListNumber"/>
        <w:spacing w:line="240" w:lineRule="auto"/>
        <w:ind w:left="720"/>
      </w:pPr>
      <w:r/>
      <w:hyperlink r:id="rId11">
        <w:r>
          <w:rPr>
            <w:color w:val="0000EE"/>
            <w:u w:val="single"/>
          </w:rPr>
          <w:t>https://www.apnews.com/article/0c17bc2940b202f7b5199aa425828a8c</w:t>
        </w:r>
      </w:hyperlink>
      <w:r>
        <w:t xml:space="preserve"> - This article covers Nebraska's enactment of a law banning transgender students from competing on girls' sports teams. It details the legislative process, including the narrow passage of the bill and the signing by Governor Jim Pillen. The article also presents arguments from both supporters and opponents of the law, highlighting the ongoing national debate over transgender athletes' participation in school sports.</w:t>
      </w:r>
      <w:r/>
    </w:p>
    <w:p>
      <w:pPr>
        <w:pStyle w:val="ListNumber"/>
        <w:spacing w:line="240" w:lineRule="auto"/>
        <w:ind w:left="720"/>
      </w:pPr>
      <w:r/>
      <w:hyperlink r:id="rId13">
        <w:r>
          <w:rPr>
            <w:color w:val="0000EE"/>
            <w:u w:val="single"/>
          </w:rPr>
          <w:t>https://www.transathlete.com/post/current-high-school-sports-policies-for-transgender-athletes-2026</w:t>
        </w:r>
      </w:hyperlink>
      <w:r>
        <w:t xml:space="preserve"> - This article provides an overview of current high school sports policies for transgender athletes as of 2026. It details the number of states with statewide bans on transgender students participating in school sports consistent with their gender identity, as well as the number of states that do not have such bans. The article also discusses the legal landscape, including court rulings and federal policies affecting transgender athletes.</w:t>
      </w:r>
      <w:r/>
    </w:p>
    <w:p>
      <w:pPr>
        <w:pStyle w:val="ListNumber"/>
        <w:spacing w:line="240" w:lineRule="auto"/>
        <w:ind w:left="720"/>
      </w:pPr>
      <w:r/>
      <w:hyperlink r:id="rId15">
        <w:r>
          <w:rPr>
            <w:color w:val="0000EE"/>
            <w:u w:val="single"/>
          </w:rPr>
          <w:t>https://www.nclrights.org/our-work/cases/doe-v-horne/</w:t>
        </w:r>
      </w:hyperlink>
      <w:r>
        <w:t xml:space="preserve"> - This page details the case of Doe v. Horne, where the National Center for Lesbian Rights and other law firms filed a lawsuit challenging Arizona's Senate Bill 1165, which bans transgender girls from competing on school sports teams. The page outlines the legal arguments, the status of the case, and the broader implications for transgender students' rights in Arizona.</w:t>
      </w:r>
      <w:r/>
    </w:p>
    <w:p>
      <w:pPr>
        <w:pStyle w:val="ListNumber"/>
        <w:spacing w:line="240" w:lineRule="auto"/>
        <w:ind w:left="720"/>
      </w:pPr>
      <w:r/>
      <w:hyperlink r:id="rId12">
        <w:r>
          <w:rPr>
            <w:color w:val="0000EE"/>
            <w:u w:val="single"/>
          </w:rPr>
          <w:t>https://www.apnews.com/article/e01548be1fc0f574d9c274e077414075</w:t>
        </w:r>
      </w:hyperlink>
      <w:r>
        <w:t xml:space="preserve"> - This article reports on the U.S. Supreme Court's decision to uphold state laws barring transgender girls and women from playing on school athletic teams. It discusses the court's reasoning, including the assertion that such bans do not violate the Constitution or Title IX. The article also presents dissenting opinions and the potential impact of the ruling on similar laws in other states.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republican-fixation-on-trans-kids/" TargetMode="External"/><Relationship Id="rId10" Type="http://schemas.openxmlformats.org/officeDocument/2006/relationships/hyperlink" Target="https://www.apnews.com/article/7c11cbd85a5c6da201ef2f12324d38d2" TargetMode="External"/><Relationship Id="rId11" Type="http://schemas.openxmlformats.org/officeDocument/2006/relationships/hyperlink" Target="https://www.apnews.com/article/0c17bc2940b202f7b5199aa425828a8c" TargetMode="External"/><Relationship Id="rId12" Type="http://schemas.openxmlformats.org/officeDocument/2006/relationships/hyperlink" Target="https://www.apnews.com/article/e01548be1fc0f574d9c274e077414075" TargetMode="External"/><Relationship Id="rId13" Type="http://schemas.openxmlformats.org/officeDocument/2006/relationships/hyperlink" Target="https://www.transathlete.com/post/current-high-school-sports-policies-for-transgender-athletes-2026" TargetMode="External"/><Relationship Id="rId14" Type="http://schemas.openxmlformats.org/officeDocument/2006/relationships/hyperlink" Target="https://www.statista.com/topics/12276/school-shootings-in-the-united-states/" TargetMode="External"/><Relationship Id="rId15" Type="http://schemas.openxmlformats.org/officeDocument/2006/relationships/hyperlink" Target="https://www.nclrights.org/our-work/cases/doe-v-hor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