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Ageing Research Highlights Gaps in Later-Life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Centre for Ageing Better resource is shining a light on older LGBTQ+ people across the UK, showing how health, care, housing, money, work and social connection can shape later life. The message is clear: better data and more inclusive services are needed so people aren't quietly overlooked as they age.</w:t>
      </w:r>
      <w:r/>
    </w:p>
    <w:p>
      <w:pPr>
        <w:pStyle w:val="Heading2"/>
      </w:pPr>
      <w:r>
        <w:t>Essential Takeaways</w:t>
      </w:r>
      <w:r/>
      <w:r/>
    </w:p>
    <w:p>
      <w:pPr>
        <w:pStyle w:val="ListBullet"/>
        <w:spacing w:line="240" w:lineRule="auto"/>
        <w:ind w:left="720"/>
      </w:pPr>
      <w:r/>
      <w:r>
        <w:rPr>
          <w:b/>
        </w:rPr>
        <w:t>Visibility matters:</w:t>
      </w:r>
      <w:r>
        <w:t xml:space="preserve"> Older LGBTQ+ people are often missing from ageing data, policy discussions and service planning.</w:t>
      </w:r>
      <w:r/>
    </w:p>
    <w:p>
      <w:pPr>
        <w:pStyle w:val="ListBullet"/>
        <w:spacing w:line="240" w:lineRule="auto"/>
        <w:ind w:left="720"/>
      </w:pPr>
      <w:r/>
      <w:r>
        <w:rPr>
          <w:b/>
        </w:rPr>
        <w:t>Inequalities overlap:</w:t>
      </w:r>
      <w:r>
        <w:t xml:space="preserve"> Health, care, housing, finances and community ties can all be affected by discrimination and disadvantage.</w:t>
      </w:r>
      <w:r/>
    </w:p>
    <w:p>
      <w:pPr>
        <w:pStyle w:val="ListBullet"/>
        <w:spacing w:line="240" w:lineRule="auto"/>
        <w:ind w:left="720"/>
      </w:pPr>
      <w:r/>
      <w:r>
        <w:rPr>
          <w:b/>
        </w:rPr>
        <w:t>Past experiences count:</w:t>
      </w:r>
      <w:r>
        <w:t xml:space="preserve"> Fear of stigma may make some people cautious about revealing their identity to professionals.</w:t>
      </w:r>
      <w:r/>
    </w:p>
    <w:p>
      <w:pPr>
        <w:pStyle w:val="ListBullet"/>
        <w:spacing w:line="240" w:lineRule="auto"/>
        <w:ind w:left="720"/>
      </w:pPr>
      <w:r/>
      <w:r>
        <w:rPr>
          <w:b/>
        </w:rPr>
        <w:t>Services need context:</w:t>
      </w:r>
      <w:r>
        <w:t xml:space="preserve"> Inclusive care means understanding different lives, relationships and support networks.</w:t>
      </w:r>
      <w:r/>
    </w:p>
    <w:p>
      <w:pPr>
        <w:pStyle w:val="ListBullet"/>
        <w:spacing w:line="240" w:lineRule="auto"/>
        <w:ind w:left="720"/>
      </w:pPr>
      <w:r/>
      <w:r>
        <w:rPr>
          <w:b/>
        </w:rPr>
        <w:t>Better evidence is the starting point:</w:t>
      </w:r>
      <w:r>
        <w:t xml:space="preserve"> More reliable data could help shape fairer policy and practice.</w:t>
      </w:r>
      <w:r/>
      <w:r/>
    </w:p>
    <w:p>
      <w:pPr>
        <w:pStyle w:val="Heading2"/>
      </w:pPr>
      <w:r>
        <w:t>Older LGBTQ+ people are too often missing from the ageing conversation</w:t>
      </w:r>
      <w:r/>
    </w:p>
    <w:p>
      <w:r/>
      <w:r>
        <w:t>Ageing policy can sound universal, but later life doesn't look the same for everyone. The Centre for Ageing Better's spotlight on older LGBTQ+ people argues that a lack of visibility in official data and public debate can leave important needs unrecognised.</w:t>
      </w:r>
      <w:r/>
    </w:p>
    <w:p>
      <w:r/>
      <w:r>
        <w:t>That absence has practical consequences. If services don't know who they're supporting, or fail to ask the right questions, they may plan around an incomplete picture. As the Centre for Ageing Better explains, older LGBTQ+ people can face inequalities across health, social care, housing, employment, finances and community life.</w:t>
      </w:r>
      <w:r/>
    </w:p>
    <w:p>
      <w:r/>
      <w:r>
        <w:t>The result is a familiar but troubling pattern: people are technically included in broad ageing strategies, yet their specific experiences remain easy to miss.</w:t>
      </w:r>
      <w:r/>
    </w:p>
    <w:p>
      <w:pPr>
        <w:pStyle w:val="Heading2"/>
      </w:pPr>
      <w:r>
        <w:t>Health and care can carry the weight of earlier discrimination</w:t>
      </w:r>
      <w:r/>
    </w:p>
    <w:p>
      <w:r/>
      <w:r>
        <w:t>Health inequalities in later life rarely appear out of nowhere. Research on older LGBTQ+ people in the UK has linked poorer outcomes and unmet care needs to a mixture of discrimination, social isolation, financial pressure and difficult experiences with services.</w:t>
      </w:r>
      <w:r/>
    </w:p>
    <w:p>
      <w:r/>
      <w:r>
        <w:t>For some people, the problem isn't simply whether support exists. It's whether they feel safe using it. A lifetime of prejudice, or previous encounters with professionals who lacked understanding, can make disclosure feel risky even when someone needs help.</w:t>
      </w:r>
      <w:r/>
    </w:p>
    <w:p>
      <w:r/>
      <w:r>
        <w:t>A systematic review published in Ageing and Society underlines why a one-size-fits-all approach can fall short. Care workers don't need to make assumptions, but they do need to create an atmosphere where people can talk openly about partners, families, identities and past experiences.</w:t>
      </w:r>
      <w:r/>
    </w:p>
    <w:p>
      <w:pPr>
        <w:pStyle w:val="Heading2"/>
      </w:pPr>
      <w:r>
        <w:t>Housing, money and work shape later life too</w:t>
      </w:r>
      <w:r/>
    </w:p>
    <w:p>
      <w:r/>
      <w:r>
        <w:t>The spotlight reaches beyond medical care, and that's important. Secure housing, a stable income and meaningful work or volunteering can make a major difference to wellbeing, yet LGBTQ+ people may enter later life with fewer financial resources or weaker formal support.</w:t>
      </w:r>
      <w:r/>
    </w:p>
    <w:p>
      <w:r/>
      <w:r>
        <w:t>Some older LGBTQ+ people may not have children or traditional family networks to rely on. Others may have experienced workplace discrimination, relationship breakdown, housing insecurity or estrangement. These factors can compound one another, leaving someone more exposed when illness, bereavement or rising living costs arrive.</w:t>
      </w:r>
      <w:r/>
    </w:p>
    <w:p>
      <w:r/>
      <w:r>
        <w:t>Research in gerontology and social policy also points to the importance of social connections. A person might have a rich network of friends and chosen family, but services may not always recognise those relationships as central to care planning. That can feel not only inconvenient, but deeply personal.</w:t>
      </w:r>
      <w:r/>
    </w:p>
    <w:p>
      <w:pPr>
        <w:pStyle w:val="Heading2"/>
      </w:pPr>
      <w:r>
        <w:t>Chosen family should be treated as real support</w:t>
      </w:r>
      <w:r/>
    </w:p>
    <w:p>
      <w:r/>
      <w:r>
        <w:t>Community connections can be a powerful source of resilience. Friends, partners, neighbours and LGBTQ+ groups may provide practical help, companionship and emotional reassurance, particularly for people who have experienced rejection from relatives or institutions.</w:t>
      </w:r>
      <w:r/>
    </w:p>
    <w:p>
      <w:r/>
      <w:r>
        <w:t>Yet support systems aren't automatically permanent. Friends may become unwell themselves, move away or struggle financially. That's why services need to avoid assuming that everyone has a dependable family network, while also avoiding the opposite mistake of treating LGBTQ+ people only through a lens of vulnerability.</w:t>
      </w:r>
      <w:r/>
    </w:p>
    <w:p>
      <w:r/>
      <w:r>
        <w:t>Studies of ageing and LGBTQ+ communities suggest that identity, relationships and social support are closely connected. Good practice starts with curiosity and respect: ask who matters to the person, who should be involved, and what support already works.</w:t>
      </w:r>
      <w:r/>
    </w:p>
    <w:p>
      <w:pPr>
        <w:pStyle w:val="Heading2"/>
      </w:pPr>
      <w:r>
        <w:t>Better data could lead to fairer services</w:t>
      </w:r>
      <w:r/>
    </w:p>
    <w:p>
      <w:r/>
      <w:r>
        <w:t>The Centre for Ageing Better's recommendations focus on changing how older LGBTQ+ people are counted, understood and included. Improving data collection is hardly glamorous, but it can be the difference between a need being visible and disappearing into a national average.</w:t>
      </w:r>
      <w:r/>
    </w:p>
    <w:p>
      <w:r/>
      <w:r>
        <w:t>Research also shows why detail matters. Older LGBTQ+ people aren't one uniform group, and experiences can differ according to sexuality, gender identity, race, disability, income, location and age. Collecting information carefully, confidentially and respectfully is therefore essential.</w:t>
      </w:r>
      <w:r/>
    </w:p>
    <w:p>
      <w:r/>
      <w:r>
        <w:t>There is a human point behind the statistics. People shouldn't have to become invisible in order to receive ordinary, dignified support. More inclusive questions, better staff training and stronger community partnerships could help turn that principle into everyday practice.</w:t>
      </w:r>
      <w:r/>
    </w:p>
    <w:p>
      <w:pPr>
        <w:pStyle w:val="Heading2"/>
      </w:pPr>
      <w:r>
        <w:t>The next step is making inclusion routine</w:t>
      </w:r>
      <w:r/>
    </w:p>
    <w:p>
      <w:r/>
      <w:r>
        <w:t>The new resource offers a useful prompt for councils, care providers, health services and organisations working with older people. Inclusion shouldn't depend on one enthusiastic staff member or a specialist project; it needs to be built into assessment, commissioning, training and accountability.</w:t>
      </w:r>
      <w:r/>
    </w:p>
    <w:p>
      <w:r/>
      <w:r>
        <w:t>For individuals and families, the practical lesson is equally straightforward. When choosing a service, it can help to ask how it supports LGBTQ+ residents, whether staff receive relevant training, and whether partners or chosen family are welcomed in care discussions.</w:t>
      </w:r>
      <w:r/>
    </w:p>
    <w:p>
      <w:r/>
      <w:r>
        <w:t>The wider ageing sector is gradually building a stronger evidence base, but the work is far from finished. As one line of research makes clear, being counted is only the beginning; being understood is what makes support meaningful.</w:t>
      </w:r>
      <w:r/>
    </w:p>
    <w:p>
      <w:r/>
      <w:r>
        <w:t>A more visible later life can help make care safer, fairer and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1">
        <w:r>
          <w:rPr>
            <w:color w:val="0000EE"/>
            <w:u w:val="single"/>
          </w:rPr>
          <w:t>[4]</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5">
        <w:r>
          <w:rPr>
            <w:color w:val="0000EE"/>
            <w:u w:val="single"/>
          </w:rPr>
          <w:t>[7]</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[4]</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https://journalofdementiacare.co.uk/the-centre-for-ageing-better-resource-state-of-ageing-spotlight-older-lgbtq-people</w:t>
        </w:r>
      </w:hyperlink>
      <w:r>
        <w:t xml:space="preserve"> - Please view link - unable to able to access data</w:t>
      </w:r>
      <w:r/>
    </w:p>
    <w:p>
      <w:pPr>
        <w:pStyle w:val="ListNumber"/>
        <w:spacing w:line="240" w:lineRule="auto"/>
        <w:ind w:left="720"/>
      </w:pPr>
      <w:r/>
      <w:hyperlink r:id="rId10">
        <w:r>
          <w:rPr>
            <w:color w:val="0000EE"/>
            <w:u w:val="single"/>
          </w:rPr>
          <w:t>https://ageing-better.org.uk/resources/state-of-ageing-LGBTQ-spotlight</w:t>
        </w:r>
      </w:hyperlink>
      <w:r>
        <w:t xml:space="preserve"> - The Centre for Ageing Better's 'State of Ageing Spotlight: Older LGBTQ+ people' addresses the invisibility of older LGBTQ+ individuals in data and discussions about ageing. It highlights the significant increase in the number and percentage of older LGB+ people in England over the past decade and the projected further rise. The resource examines the inequalities faced by older LGBTQ+ people in areas such as housing, work, finances, health, care, and community connections, attributing these challenges to decades of discrimination. It also provides recommendations for policy and practice to address these issues.</w:t>
      </w:r>
      <w:r/>
    </w:p>
    <w:p>
      <w:pPr>
        <w:pStyle w:val="ListNumber"/>
        <w:spacing w:line="240" w:lineRule="auto"/>
        <w:ind w:left="720"/>
      </w:pPr>
      <w:r/>
      <w:hyperlink r:id="rId12">
        <w:r>
          <w:rPr>
            <w:color w:val="0000EE"/>
            <w:u w:val="single"/>
          </w:rPr>
          <w:t>https://journals.sagepub.com/doi/abs/10.1177/01640275261419531</w:t>
        </w:r>
      </w:hyperlink>
      <w:r>
        <w:t xml:space="preserve"> - A study titled 'Challenges and Opportunities for Equitable Aging for LGBTQ+ Older Adults in Rural Communities: A Community-Engaged Focus Group Study' explores the unique challenges faced by LGBTQ+ older adults in rural areas. Through focus groups with 31 participants, the research identifies six interrelated domains reflecting challenges and strengths regarding health, housing, technology, transportation, caregiving, and community. The study emphasizes the need for tailored support and policy interventions to address these specific challenges in rural settings.</w:t>
      </w:r>
      <w:r/>
    </w:p>
    <w:p>
      <w:pPr>
        <w:pStyle w:val="ListNumber"/>
        <w:spacing w:line="240" w:lineRule="auto"/>
        <w:ind w:left="720"/>
      </w:pPr>
      <w:r/>
      <w:hyperlink r:id="rId11">
        <w:r>
          <w:rPr>
            <w:color w:val="0000EE"/>
            <w:u w:val="single"/>
          </w:rPr>
          <w:t>https://www.cambridge.org/core/journals/ageing-and-society/article/inequalities-in-older-lgbt-peoples-health-and-care-needs-in-the-united-kingdom-a-systematic-scoping-review/FDF7D2BC9C59B50FFF13B5A796D48259</w:t>
        </w:r>
      </w:hyperlink>
      <w:r>
        <w:t xml:space="preserve"> - An article titled 'Inequalities in older LGBT people's health and care needs in the United Kingdom: a systematic scoping review' examines the lasting negative impact of a hostile environment faced by older lesbian, gay, bisexual, and transgender (LGBT) individuals in the UK. The review highlights how historical discrimination has affected their health and care needs, underscoring the importance of addressing these inequalities to improve the well-being of older LGBT people.</w:t>
      </w:r>
      <w:r/>
    </w:p>
    <w:p>
      <w:pPr>
        <w:pStyle w:val="ListNumber"/>
        <w:spacing w:line="240" w:lineRule="auto"/>
        <w:ind w:left="720"/>
      </w:pPr>
      <w:r/>
      <w:hyperlink r:id="rId13">
        <w:r>
          <w:rPr>
            <w:color w:val="0000EE"/>
            <w:u w:val="single"/>
          </w:rPr>
          <w:t>https://journals.sagepub.com/doi/10.1177/1363460720936471</w:t>
        </w:r>
      </w:hyperlink>
      <w:r>
        <w:t xml:space="preserve"> - The article 'Experiences of older LGBT people ageing in place with care and support: A window on ordinary ageing environments, home-making practices and meeting activities' discusses the experiences of 115 LGBT individuals aged 65 and over who are ageing in place in the Netherlands. The study reveals that older LGBT people's experiences with ageing in place are influenced by how well ageing environments accommodate LGBT lifestyles, highlighting the need for inclusive and supportive care settings.</w:t>
      </w:r>
      <w:r/>
    </w:p>
    <w:p>
      <w:pPr>
        <w:pStyle w:val="ListNumber"/>
        <w:spacing w:line="240" w:lineRule="auto"/>
        <w:ind w:left="720"/>
      </w:pPr>
      <w:r/>
      <w:hyperlink r:id="rId14">
        <w:r>
          <w:rPr>
            <w:color w:val="0000EE"/>
            <w:u w:val="single"/>
          </w:rPr>
          <w:t>https://journals.sagepub.com/doi/10.1177/08854122211051604</w:t>
        </w:r>
      </w:hyperlink>
      <w:r>
        <w:t xml:space="preserve"> - In 'Aging Back Into the Closet: Community Planning for Older LGBTQ+ Adults,' the author illuminates the unique experiences of older LGBTQ+ adults in urban settings. The literature review identifies themes such as fear and isolation, service access, housing, and economic instability. The study argues for the need to advocate for policies, training, and data collection to enhance the social inclusion, economic security, health, housing, and safety of older LGBTQ+ adults.</w:t>
      </w:r>
      <w:r/>
    </w:p>
    <w:p>
      <w:pPr>
        <w:pStyle w:val="ListNumber"/>
        <w:spacing w:line="240" w:lineRule="auto"/>
        <w:ind w:left="720"/>
      </w:pPr>
      <w:r/>
      <w:hyperlink r:id="rId15">
        <w:r>
          <w:rPr>
            <w:color w:val="0000EE"/>
            <w:u w:val="single"/>
          </w:rPr>
          <w:t>https://academic.oup.com/gerontologist/article/65/6/gnaf103/8074204</w:t>
        </w:r>
      </w:hyperlink>
      <w:r>
        <w:t xml:space="preserve"> - A community-engaged scoping review titled 'A Community-Engaged Scoping Review of Affordable Housing Models for LGBTQ+ Older Adults' examines existing affordable housing models for LGBTQ+ older adults. The study employs a multimethod community-engaged approach to identify and assess various housing models, aiming to inform the development of inclusive and affordable housing solutions for this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ofdementiacare.co.uk/the-centre-for-ageing-better-resource-state-of-ageing-spotlight-older-lgbtq-people" TargetMode="External"/><Relationship Id="rId10" Type="http://schemas.openxmlformats.org/officeDocument/2006/relationships/hyperlink" Target="https://ageing-better.org.uk/resources/state-of-ageing-LGBTQ-spotlight" TargetMode="External"/><Relationship Id="rId11" Type="http://schemas.openxmlformats.org/officeDocument/2006/relationships/hyperlink" Target="https://www.cambridge.org/core/journals/ageing-and-society/article/inequalities-in-older-lgbt-peoples-health-and-care-needs-in-the-united-kingdom-a-systematic-scoping-review/FDF7D2BC9C59B50FFF13B5A796D48259" TargetMode="External"/><Relationship Id="rId12" Type="http://schemas.openxmlformats.org/officeDocument/2006/relationships/hyperlink" Target="https://journals.sagepub.com/doi/abs/10.1177/01640275261419531" TargetMode="External"/><Relationship Id="rId13" Type="http://schemas.openxmlformats.org/officeDocument/2006/relationships/hyperlink" Target="https://journals.sagepub.com/doi/10.1177/1363460720936471" TargetMode="External"/><Relationship Id="rId14" Type="http://schemas.openxmlformats.org/officeDocument/2006/relationships/hyperlink" Target="https://journals.sagepub.com/doi/10.1177/08854122211051604" TargetMode="External"/><Relationship Id="rId15" Type="http://schemas.openxmlformats.org/officeDocument/2006/relationships/hyperlink" Target="https://academic.oup.com/gerontologist/article/65/6/gnaf103/80742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