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Inclusive Aged Care Can Support LGBTI+ Older Adults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advocates are urging Australian aged care providers to make mainstream services visibly and genuinely welcoming to LGBTI+ older adults. The message matters because fear of judgement, poor visibility and past discrimination can discourage people from seeking support, while practical changes could help them feel safer, recognised and respected.</w:t>
      </w:r>
      <w:r/>
    </w:p>
    <w:p>
      <w:pPr>
        <w:pStyle w:val="Heading2"/>
      </w:pPr>
      <w:r>
        <w:t>Essential Takeaways</w:t>
      </w:r>
      <w:r/>
      <w:r/>
    </w:p>
    <w:p>
      <w:pPr>
        <w:pStyle w:val="ListBullet"/>
        <w:spacing w:line="240" w:lineRule="auto"/>
        <w:ind w:left="720"/>
      </w:pPr>
      <w:r/>
      <w:r>
        <w:rPr>
          <w:b/>
        </w:rPr>
        <w:t>Fear remains a barrier:</w:t>
      </w:r>
      <w:r>
        <w:t xml:space="preserve"> Some LGBTI+ older adults worry about discrimination or feel pressure to hide their identity.</w:t>
      </w:r>
      <w:r/>
    </w:p>
    <w:p>
      <w:pPr>
        <w:pStyle w:val="ListBullet"/>
        <w:spacing w:line="240" w:lineRule="auto"/>
        <w:ind w:left="720"/>
      </w:pPr>
      <w:r/>
      <w:r>
        <w:rPr>
          <w:b/>
        </w:rPr>
        <w:t>Mainstream care is preferred:</w:t>
      </w:r>
      <w:r>
        <w:t xml:space="preserve"> People want inclusive aged care, not separate facilities.</w:t>
      </w:r>
      <w:r/>
    </w:p>
    <w:p>
      <w:pPr>
        <w:pStyle w:val="ListBullet"/>
        <w:spacing w:line="240" w:lineRule="auto"/>
        <w:ind w:left="720"/>
      </w:pPr>
      <w:r/>
      <w:r>
        <w:rPr>
          <w:b/>
        </w:rPr>
        <w:t>Visibility builds trust:</w:t>
      </w:r>
      <w:r>
        <w:t xml:space="preserve"> Rainbow symbols, inclusive websites and clear statements can signal a safer service.</w:t>
      </w:r>
      <w:r/>
    </w:p>
    <w:p>
      <w:pPr>
        <w:pStyle w:val="ListBullet"/>
        <w:spacing w:line="240" w:lineRule="auto"/>
        <w:ind w:left="720"/>
      </w:pPr>
      <w:r/>
      <w:r>
        <w:rPr>
          <w:b/>
        </w:rPr>
        <w:t>Training is practical:</w:t>
      </w:r>
      <w:r>
        <w:t xml:space="preserve"> Staff education and specialist frameworks give providers a clear starting point.</w:t>
      </w:r>
      <w:r/>
    </w:p>
    <w:p>
      <w:pPr>
        <w:pStyle w:val="ListBullet"/>
        <w:spacing w:line="240" w:lineRule="auto"/>
        <w:ind w:left="720"/>
      </w:pPr>
      <w:r/>
      <w:r>
        <w:rPr>
          <w:b/>
        </w:rPr>
        <w:t>Information should be easier to find:</w:t>
      </w:r>
      <w:r>
        <w:t xml:space="preserve"> LGBTI+ guidance needs to appear within mainstream aged care platforms, not only specialist websites.</w:t>
      </w:r>
      <w:r/>
      <w:r/>
    </w:p>
    <w:p>
      <w:pPr>
        <w:pStyle w:val="Heading2"/>
      </w:pPr>
      <w:r>
        <w:t>Aged care can feel risky before support even begins</w:t>
      </w:r>
      <w:r/>
    </w:p>
    <w:p>
      <w:r/>
      <w:r>
        <w:t xml:space="preserve">For many older LGBTI+ Australians, the first challenge isn't choosing a provider. It's deciding whether the system will respect who they are. Research into health and aged care experiences has found that fear of ridicule, rejection or forced disclosure can shape those decisions long before a person enters a residential home or receives support at home. </w:t>
      </w:r>
      <w:hyperlink r:id="rId9">
        <w:r>
          <w:rPr>
            <w:color w:val="0000EE"/>
            <w:u w:val="single"/>
          </w:rPr>
          <w:t>[3]</w:t>
        </w:r>
      </w:hyperlink>
      <w:r>
        <w:t xml:space="preserve">, </w:t>
      </w:r>
      <w:hyperlink r:id="rId10">
        <w:r>
          <w:rPr>
            <w:color w:val="0000EE"/>
            <w:u w:val="single"/>
          </w:rPr>
          <w:t>[7]</w:t>
        </w:r>
      </w:hyperlink>
      <w:r/>
    </w:p>
    <w:p>
      <w:r/>
      <w:r>
        <w:t xml:space="preserve">That fear has deep roots. Many people have lived through decades when their relationships, gender identity or bodies were misunderstood or openly criticised. So a care assessment may feel less like a routine form and more like a test of whether it's safe to be honest. </w:t>
      </w:r>
      <w:hyperlink r:id="rId11">
        <w:r>
          <w:rPr>
            <w:color w:val="0000EE"/>
            <w:u w:val="single"/>
          </w:rPr>
          <w:t>[2]</w:t>
        </w:r>
      </w:hyperlink>
      <w:r>
        <w:t xml:space="preserve">, </w:t>
      </w:r>
      <w:hyperlink r:id="rId9">
        <w:r>
          <w:rPr>
            <w:color w:val="0000EE"/>
            <w:u w:val="single"/>
          </w:rPr>
          <w:t>[3]</w:t>
        </w:r>
      </w:hyperlink>
      <w:r/>
    </w:p>
    <w:p>
      <w:r/>
      <w:r>
        <w:t xml:space="preserve">Research using Australian data also points to worrying patterns in service use, including people avoiding assessment or not proceeding to care after being assessed. That matters because a system can appear available on paper while remaining out of reach emotionally. </w:t>
      </w:r>
      <w:hyperlink r:id="rId12">
        <w:r>
          <w:rPr>
            <w:color w:val="0000EE"/>
            <w:u w:val="single"/>
          </w:rPr>
          <w:t>[6]</w:t>
        </w:r>
      </w:hyperlink>
      <w:r>
        <w:t xml:space="preserve">, </w:t>
      </w:r>
      <w:hyperlink r:id="rId10">
        <w:r>
          <w:rPr>
            <w:color w:val="0000EE"/>
            <w:u w:val="single"/>
          </w:rPr>
          <w:t>[7]</w:t>
        </w:r>
      </w:hyperlink>
      <w:r/>
    </w:p>
    <w:p>
      <w:pPr>
        <w:pStyle w:val="Heading2"/>
      </w:pPr>
      <w:r>
        <w:t>Why visibility matters in inclusive aged care</w:t>
      </w:r>
      <w:r/>
    </w:p>
    <w:p>
      <w:r/>
      <w:r>
        <w:t xml:space="preserve">A provider's language, imagery and staff culture can tell prospective clients a great deal before the first conversation. A rainbow lanyard won't solve every problem, of course, but clear inclusion statements, diverse photographs and respectful forms can make the initial step feel less daunting. </w:t>
      </w:r>
      <w:hyperlink r:id="rId13">
        <w:r>
          <w:rPr>
            <w:color w:val="0000EE"/>
            <w:u w:val="single"/>
          </w:rPr>
          <w:t>[4]</w:t>
        </w:r>
      </w:hyperlink>
      <w:r>
        <w:t xml:space="preserve">, </w:t>
      </w:r>
      <w:hyperlink r:id="rId14">
        <w:r>
          <w:rPr>
            <w:color w:val="0000EE"/>
            <w:u w:val="single"/>
          </w:rPr>
          <w:t>[5]</w:t>
        </w:r>
      </w:hyperlink>
      <w:r/>
    </w:p>
    <w:p>
      <w:r/>
      <w:r>
        <w:t xml:space="preserve">The Australian Government's My Aged Care guidance recognises that LGBTI people may need support that respects their identity, relationships and personal history. Bringing that message into ordinary aged care pathways is important because people shouldn't need specialist knowledge, or a trusted insider, to find a welcoming service. </w:t>
      </w:r>
      <w:hyperlink r:id="rId13">
        <w:r>
          <w:rPr>
            <w:color w:val="0000EE"/>
            <w:u w:val="single"/>
          </w:rPr>
          <w:t>[4]</w:t>
        </w:r>
      </w:hyperlink>
      <w:r/>
    </w:p>
    <w:p>
      <w:r/>
      <w:r>
        <w:t xml:space="preserve">There is also a practical point here. If people don't feel confident disclosing their identity, providers may miss information about partners, chosen family, pronouns, gender history or the kind of support that would help someone feel at home. Inclusive communication isn't decorative; it can improve the quality of care planning. </w:t>
      </w:r>
      <w:hyperlink r:id="rId11">
        <w:r>
          <w:rPr>
            <w:color w:val="0000EE"/>
            <w:u w:val="single"/>
          </w:rPr>
          <w:t>[2]</w:t>
        </w:r>
      </w:hyperlink>
      <w:r>
        <w:t xml:space="preserve">, </w:t>
      </w:r>
      <w:hyperlink r:id="rId13">
        <w:r>
          <w:rPr>
            <w:color w:val="0000EE"/>
            <w:u w:val="single"/>
          </w:rPr>
          <w:t>[4]</w:t>
        </w:r>
      </w:hyperlink>
      <w:r/>
    </w:p>
    <w:p>
      <w:pPr>
        <w:pStyle w:val="Heading2"/>
      </w:pPr>
      <w:r>
        <w:t>Mainstream care, but with genuine inclusion</w:t>
      </w:r>
      <w:r/>
    </w:p>
    <w:p>
      <w:r/>
      <w:r>
        <w:t xml:space="preserve">The people consulted in this research weren't asking for a separate aged care system. They wanted the same mainstream services available to everyone else, but designed and delivered with a better understanding of sexual, gender and bodily diversity. </w:t>
      </w:r>
      <w:hyperlink r:id="rId15">
        <w:r>
          <w:rPr>
            <w:color w:val="0000EE"/>
            <w:u w:val="single"/>
          </w:rPr>
          <w:t>[1]</w:t>
        </w:r>
      </w:hyperlink>
      <w:r>
        <w:t xml:space="preserve">, </w:t>
      </w:r>
      <w:hyperlink r:id="rId14">
        <w:r>
          <w:rPr>
            <w:color w:val="0000EE"/>
            <w:u w:val="single"/>
          </w:rPr>
          <w:t>[5]</w:t>
        </w:r>
      </w:hyperlink>
      <w:r/>
    </w:p>
    <w:p>
      <w:r/>
      <w:r>
        <w:t xml:space="preserve">That distinction is easy to miss. Inclusion isn't simply avoiding offensive behaviour. It means making room for a person's partner or chosen family, respecting names and pronouns, recognising different life stories and ensuring staff know how to respond without awkwardness or assumptions. </w:t>
      </w:r>
      <w:hyperlink r:id="rId11">
        <w:r>
          <w:rPr>
            <w:color w:val="0000EE"/>
            <w:u w:val="single"/>
          </w:rPr>
          <w:t>[2]</w:t>
        </w:r>
      </w:hyperlink>
      <w:r>
        <w:t xml:space="preserve">, </w:t>
      </w:r>
      <w:hyperlink r:id="rId14">
        <w:r>
          <w:rPr>
            <w:color w:val="0000EE"/>
            <w:u w:val="single"/>
          </w:rPr>
          <w:t>[5]</w:t>
        </w:r>
      </w:hyperlink>
      <w:r/>
    </w:p>
    <w:p>
      <w:r/>
      <w:r>
        <w:t xml:space="preserve">For providers, this can begin with staff training and a review of everyday systems, from intake forms to complaints procedures. The best services will look beyond a one-off workshop and make inclusion part of governance, recruitment, care planning and ongoing learning. </w:t>
      </w:r>
      <w:hyperlink r:id="rId14">
        <w:r>
          <w:rPr>
            <w:color w:val="0000EE"/>
            <w:u w:val="single"/>
          </w:rPr>
          <w:t>[5]</w:t>
        </w:r>
      </w:hyperlink>
      <w:r>
        <w:t xml:space="preserve">, </w:t>
      </w:r>
      <w:hyperlink r:id="rId12">
        <w:r>
          <w:rPr>
            <w:color w:val="0000EE"/>
            <w:u w:val="single"/>
          </w:rPr>
          <w:t>[6]</w:t>
        </w:r>
      </w:hyperlink>
      <w:r/>
    </w:p>
    <w:p>
      <w:pPr>
        <w:pStyle w:val="Heading2"/>
      </w:pPr>
      <w:r>
        <w:t>Small signals can make a large difference</w:t>
      </w:r>
      <w:r/>
    </w:p>
    <w:p>
      <w:r/>
      <w:r>
        <w:t xml:space="preserve">Visible signs of welcome are particularly useful when people are comparing providers. Rainbow accreditation, inclusive advertising, staff badges, relevant events and public commitments can help turn vague reassurance into something tangible. </w:t>
      </w:r>
      <w:hyperlink r:id="rId13">
        <w:r>
          <w:rPr>
            <w:color w:val="0000EE"/>
            <w:u w:val="single"/>
          </w:rPr>
          <w:t>[4]</w:t>
        </w:r>
      </w:hyperlink>
      <w:r>
        <w:t xml:space="preserve">, </w:t>
      </w:r>
      <w:hyperlink r:id="rId14">
        <w:r>
          <w:rPr>
            <w:color w:val="0000EE"/>
            <w:u w:val="single"/>
          </w:rPr>
          <w:t>[5]</w:t>
        </w:r>
      </w:hyperlink>
      <w:r/>
    </w:p>
    <w:p>
      <w:r/>
      <w:r>
        <w:t xml:space="preserve">But the details have to be credible. A rainbow logo on a website won't inspire confidence if staff don't know how to respond to a same-sex partner, a trans resident or an older person who uses a different name from the one on historic records. Consistency is what turns a friendly signal into trust. </w:t>
      </w:r>
      <w:hyperlink r:id="rId11">
        <w:r>
          <w:rPr>
            <w:color w:val="0000EE"/>
            <w:u w:val="single"/>
          </w:rPr>
          <w:t>[2]</w:t>
        </w:r>
      </w:hyperlink>
      <w:r>
        <w:t xml:space="preserve">, </w:t>
      </w:r>
      <w:hyperlink r:id="rId14">
        <w:r>
          <w:rPr>
            <w:color w:val="0000EE"/>
            <w:u w:val="single"/>
          </w:rPr>
          <w:t>[5]</w:t>
        </w:r>
      </w:hyperlink>
      <w:r/>
    </w:p>
    <w:p>
      <w:r/>
      <w:r>
        <w:t xml:space="preserve">Providers can also use specialist guidance and training resources to build confidence. The goal isn't to make staff experts in every aspect of identity; it's to help them ask respectful questions, avoid assumptions and know where to seek further advice. </w:t>
      </w:r>
      <w:hyperlink r:id="rId14">
        <w:r>
          <w:rPr>
            <w:color w:val="0000EE"/>
            <w:u w:val="single"/>
          </w:rPr>
          <w:t>[5]</w:t>
        </w:r>
      </w:hyperlink>
      <w:r/>
    </w:p>
    <w:p>
      <w:pPr>
        <w:pStyle w:val="Heading2"/>
      </w:pPr>
      <w:r>
        <w:t>Choosing a safer and more welcoming service</w:t>
      </w:r>
      <w:r/>
    </w:p>
    <w:p>
      <w:r/>
      <w:r>
        <w:t xml:space="preserve">Older people and families comparing services can ask direct questions before signing up. Does the provider offer LGBTI+ training? How are partners and chosen family included? Are forms and websites inclusive? What happens if a resident experiences discrimination? Clear answers are more useful than polished marketing. </w:t>
      </w:r>
      <w:hyperlink r:id="rId13">
        <w:r>
          <w:rPr>
            <w:color w:val="0000EE"/>
            <w:u w:val="single"/>
          </w:rPr>
          <w:t>[4]</w:t>
        </w:r>
      </w:hyperlink>
      <w:r>
        <w:t xml:space="preserve">, </w:t>
      </w:r>
      <w:hyperlink r:id="rId14">
        <w:r>
          <w:rPr>
            <w:color w:val="0000EE"/>
            <w:u w:val="single"/>
          </w:rPr>
          <w:t>[5]</w:t>
        </w:r>
      </w:hyperlink>
      <w:r/>
    </w:p>
    <w:p>
      <w:r/>
      <w:r>
        <w:t xml:space="preserve">It can also help to look for evidence of sustained commitment, such as accreditation, named inclusion leads, community partnerships or regular staff development. Specialist navigators and community organisations may offer additional guidance, particularly when mainstream provider information is vague. </w:t>
      </w:r>
      <w:hyperlink r:id="rId13">
        <w:r>
          <w:rPr>
            <w:color w:val="0000EE"/>
            <w:u w:val="single"/>
          </w:rPr>
          <w:t>[4]</w:t>
        </w:r>
      </w:hyperlink>
      <w:r>
        <w:t xml:space="preserve">, </w:t>
      </w:r>
      <w:hyperlink r:id="rId14">
        <w:r>
          <w:rPr>
            <w:color w:val="0000EE"/>
            <w:u w:val="single"/>
          </w:rPr>
          <w:t>[5]</w:t>
        </w:r>
      </w:hyperlink>
      <w:r/>
    </w:p>
    <w:p>
      <w:r/>
      <w:r>
        <w:t xml:space="preserve">The outlook is encouraging if providers treat inclusion as a core part of quality care rather than a niche extra. For someone who has spent a lifetime deciding when it is safe to be visible, that change could make the move into aged care feel less like a retreat and more like a continuation of life on their own terms. </w:t>
      </w:r>
      <w:hyperlink r:id="rId11">
        <w:r>
          <w:rPr>
            <w:color w:val="0000EE"/>
            <w:u w:val="single"/>
          </w:rPr>
          <w:t>[2]</w:t>
        </w:r>
      </w:hyperlink>
      <w:r>
        <w:t xml:space="preserve">, </w:t>
      </w:r>
      <w:hyperlink r:id="rId9">
        <w:r>
          <w:rPr>
            <w:color w:val="0000EE"/>
            <w:u w:val="single"/>
          </w:rPr>
          <w:t>[3]</w:t>
        </w:r>
      </w:hyperlink>
      <w:r/>
    </w:p>
    <w:p>
      <w:r/>
      <w:r>
        <w:t>It's a simple principle, but a powerful one: everyone should be able to age without hiding.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[3]</w:t>
        </w:r>
      </w:hyperlink>
      <w:r>
        <w:t xml:space="preserve">, </w:t>
      </w:r>
      <w:hyperlink r:id="rId10">
        <w:r>
          <w:rPr>
            <w:color w:val="0000EE"/>
            <w:u w:val="single"/>
          </w:rPr>
          <w:t>[7]</w:t>
        </w:r>
      </w:hyperlink>
      <w:r>
        <w:t xml:space="preserve">- Paragraph 3: </w:t>
      </w:r>
      <w:hyperlink r:id="rId12">
        <w:r>
          <w:rPr>
            <w:color w:val="0000EE"/>
            <w:u w:val="single"/>
          </w:rPr>
          <w:t>[6]</w:t>
        </w:r>
      </w:hyperlink>
      <w:r>
        <w:t xml:space="preserve">, </w:t>
      </w:r>
      <w:hyperlink r:id="rId10">
        <w:r>
          <w:rPr>
            <w:color w:val="0000EE"/>
            <w:u w:val="single"/>
          </w:rPr>
          <w:t>[7]</w:t>
        </w:r>
      </w:hyperlink>
      <w:r>
        <w:t xml:space="preserve">- Paragraph 4: </w:t>
      </w:r>
      <w:hyperlink r:id="rId15">
        <w:r>
          <w:rPr>
            <w:color w:val="0000EE"/>
            <w:u w:val="single"/>
          </w:rPr>
          <w:t>[1]</w:t>
        </w:r>
      </w:hyperlink>
      <w:r>
        <w:t xml:space="preserve">, </w:t>
      </w:r>
      <w:hyperlink r:id="rId14">
        <w:r>
          <w:rPr>
            <w:color w:val="0000EE"/>
            <w:u w:val="single"/>
          </w:rPr>
          <w:t>[5]</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1">
        <w:r>
          <w:rPr>
            <w:color w:val="0000EE"/>
            <w:u w:val="single"/>
          </w:rPr>
          <w:t>[2]</w:t>
        </w:r>
      </w:hyperlink>
      <w:r>
        <w:t xml:space="preserve">, </w:t>
      </w:r>
      <w:hyperlink r:id="rId13">
        <w:r>
          <w:rPr>
            <w:color w:val="0000EE"/>
            <w:u w:val="single"/>
          </w:rPr>
          <w:t>[4]</w:t>
        </w:r>
      </w:hyperlink>
      <w:r>
        <w:t xml:space="preserve">- Paragraph 7: </w:t>
      </w:r>
      <w:hyperlink r:id="rId15">
        <w:r>
          <w:rPr>
            <w:color w:val="0000EE"/>
            <w:u w:val="single"/>
          </w:rPr>
          <w:t>[1]</w:t>
        </w:r>
      </w:hyperlink>
      <w:r>
        <w:t xml:space="preserve">, </w:t>
      </w:r>
      <w:hyperlink r:id="rId14">
        <w:r>
          <w:rPr>
            <w:color w:val="0000EE"/>
            <w:u w:val="single"/>
          </w:rPr>
          <w:t>[5]</w:t>
        </w:r>
      </w:hyperlink>
      <w:r>
        <w:t xml:space="preserve">- Paragraph 8: </w:t>
      </w:r>
      <w:hyperlink r:id="rId11">
        <w:r>
          <w:rPr>
            <w:color w:val="0000EE"/>
            <w:u w:val="single"/>
          </w:rPr>
          <w:t>[2]</w:t>
        </w:r>
      </w:hyperlink>
      <w:r>
        <w:t xml:space="preserve">, </w:t>
      </w:r>
      <w:hyperlink r:id="rId14">
        <w:r>
          <w:rPr>
            <w:color w:val="0000EE"/>
            <w:u w:val="single"/>
          </w:rPr>
          <w:t>[5]</w:t>
        </w:r>
      </w:hyperlink>
      <w:r>
        <w:t xml:space="preserve">- Paragraph 9: </w:t>
      </w:r>
      <w:hyperlink r:id="rId14">
        <w:r>
          <w:rPr>
            <w:color w:val="0000EE"/>
            <w:u w:val="single"/>
          </w:rPr>
          <w:t>[5]</w:t>
        </w:r>
      </w:hyperlink>
      <w:r>
        <w:t xml:space="preserve">, </w:t>
      </w:r>
      <w:hyperlink r:id="rId12">
        <w:r>
          <w:rPr>
            <w:color w:val="0000EE"/>
            <w:u w:val="single"/>
          </w:rPr>
          <w:t>[6]</w:t>
        </w:r>
      </w:hyperlink>
      <w:r>
        <w:t xml:space="preserve">- Paragraph 10: </w:t>
      </w:r>
      <w:hyperlink r:id="rId13">
        <w:r>
          <w:rPr>
            <w:color w:val="0000EE"/>
            <w:u w:val="single"/>
          </w:rPr>
          <w:t>[4]</w:t>
        </w:r>
      </w:hyperlink>
      <w:r>
        <w:t xml:space="preserve">, </w:t>
      </w:r>
      <w:hyperlink r:id="rId14">
        <w:r>
          <w:rPr>
            <w:color w:val="0000EE"/>
            <w:u w:val="single"/>
          </w:rPr>
          <w:t>[5]</w:t>
        </w:r>
      </w:hyperlink>
      <w:r>
        <w:t xml:space="preserve">- Paragraph 11: </w:t>
      </w:r>
      <w:hyperlink r:id="rId11">
        <w:r>
          <w:rPr>
            <w:color w:val="0000EE"/>
            <w:u w:val="single"/>
          </w:rPr>
          <w:t>[2]</w:t>
        </w:r>
      </w:hyperlink>
      <w:r>
        <w:t xml:space="preserve">, </w:t>
      </w:r>
      <w:hyperlink r:id="rId14">
        <w:r>
          <w:rPr>
            <w:color w:val="0000EE"/>
            <w:u w:val="single"/>
          </w:rPr>
          <w:t>[5]</w:t>
        </w:r>
      </w:hyperlink>
      <w:r>
        <w:t xml:space="preserve">- Paragraph 12: </w:t>
      </w:r>
      <w:hyperlink r:id="rId14">
        <w:r>
          <w:rPr>
            <w:color w:val="0000EE"/>
            <w:u w:val="single"/>
          </w:rPr>
          <w:t>[5]</w:t>
        </w:r>
      </w:hyperlink>
      <w:r>
        <w:t xml:space="preserve">, </w:t>
      </w:r>
      <w:hyperlink r:id="rId12">
        <w:r>
          <w:rPr>
            <w:color w:val="0000EE"/>
            <w:u w:val="single"/>
          </w:rPr>
          <w:t>[6]</w:t>
        </w:r>
      </w:hyperlink>
      <w:r>
        <w:t xml:space="preserve">- Paragraph 13: </w:t>
      </w:r>
      <w:hyperlink r:id="rId13">
        <w:r>
          <w:rPr>
            <w:color w:val="0000EE"/>
            <w:u w:val="single"/>
          </w:rPr>
          <w:t>[4]</w:t>
        </w:r>
      </w:hyperlink>
      <w:r>
        <w:t xml:space="preserve">, </w:t>
      </w:r>
      <w:hyperlink r:id="rId14">
        <w:r>
          <w:rPr>
            <w:color w:val="0000EE"/>
            <w:u w:val="single"/>
          </w:rPr>
          <w:t>[5]</w:t>
        </w:r>
      </w:hyperlink>
      <w:r>
        <w:t xml:space="preserve">- Paragraph 14: </w:t>
      </w:r>
      <w:hyperlink r:id="rId13">
        <w:r>
          <w:rPr>
            <w:color w:val="0000EE"/>
            <w:u w:val="single"/>
          </w:rPr>
          <w:t>[4]</w:t>
        </w:r>
      </w:hyperlink>
      <w:r>
        <w:t xml:space="preserve">, </w:t>
      </w:r>
      <w:hyperlink r:id="rId14">
        <w:r>
          <w:rPr>
            <w:color w:val="0000EE"/>
            <w:u w:val="single"/>
          </w:rPr>
          <w:t>[5]</w:t>
        </w:r>
      </w:hyperlink>
      <w:r>
        <w:t xml:space="preserve">- Paragraph 15: </w:t>
      </w:r>
      <w:hyperlink r:id="rId11">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https://theageingagenda.com.au/operations/resident-experience/how-to-improve-the-experience-for-lgbti-adults/</w:t>
        </w:r>
      </w:hyperlink>
      <w:r>
        <w:t xml:space="preserve"> - Please view link - unable to able to access data</w:t>
      </w:r>
      <w:r/>
    </w:p>
    <w:p>
      <w:pPr>
        <w:pStyle w:val="ListNumber"/>
        <w:spacing w:line="240" w:lineRule="auto"/>
        <w:ind w:left="720"/>
      </w:pPr>
      <w:r/>
      <w:hyperlink r:id="rId11">
        <w:r>
          <w:rPr>
            <w:color w:val="0000EE"/>
            <w:u w:val="single"/>
          </w:rPr>
          <w:t>https://pubmed.ncbi.nlm.nih.gov/39903457/</w:t>
        </w:r>
      </w:hyperlink>
      <w:r>
        <w:t xml:space="preserve"> - This systematic review and meta-synthesis examines the perspectives and experiences of older LGBTI+ adults regarding long-term care. It identifies four key themes: the perception of care as heterosexualized, feelings of vulnerability, the necessity to conceal one's identity, and the desire for quality services rather than segregated ones. The study highlights the impact of minority stress and suggests that a multilevel approach, including staff education and inclusive care practices, is essential to improve engagement with long-term care services for LGBTI+ older adults.</w:t>
      </w:r>
      <w:r/>
    </w:p>
    <w:p>
      <w:pPr>
        <w:pStyle w:val="ListNumber"/>
        <w:spacing w:line="240" w:lineRule="auto"/>
        <w:ind w:left="720"/>
      </w:pPr>
      <w:r/>
      <w:hyperlink r:id="rId9">
        <w:r>
          <w:rPr>
            <w:color w:val="0000EE"/>
            <w:u w:val="single"/>
          </w:rPr>
          <w:t>https://pubmed.ncbi.nlm.nih.gov/34704656/</w:t>
        </w:r>
      </w:hyperlink>
      <w:r>
        <w:t xml:space="preserve"> - An exploratory survey conducted in Australia gathered views from older LGBTI individuals on their experiences and expectations of aged care. The study aimed to understand the challenges faced by this community and the support needed to ensure inclusive and respectful care. The findings underscore the importance of addressing the unique needs of LGBTI older adults to enhance their engagement with aged care services.</w:t>
      </w:r>
      <w:r/>
    </w:p>
    <w:p>
      <w:pPr>
        <w:pStyle w:val="ListNumber"/>
        <w:spacing w:line="240" w:lineRule="auto"/>
        <w:ind w:left="720"/>
      </w:pPr>
      <w:r/>
      <w:hyperlink r:id="rId13">
        <w:r>
          <w:rPr>
            <w:color w:val="0000EE"/>
            <w:u w:val="single"/>
          </w:rPr>
          <w:t>https://www.myagedcare.gov.au/support-for-lgbti-people</w:t>
        </w:r>
      </w:hyperlink>
      <w:r>
        <w:t xml:space="preserve"> - This resource from My Aged Care outlines the support available for individuals who are lesbian, gay, bisexual, transgender, intersex, or of other sexual orientations or gender identities. It emphasizes the right to access culturally safe, trauma-aware, and healing-informed assessments and aged care services. The initiative aims to ensure that aged care is welcoming, inclusive, and respectful for everyone, including older people of diverse sexual orientation and gender identity.</w:t>
      </w:r>
      <w:r/>
    </w:p>
    <w:p>
      <w:pPr>
        <w:pStyle w:val="ListNumber"/>
        <w:spacing w:line="240" w:lineRule="auto"/>
        <w:ind w:left="720"/>
      </w:pPr>
      <w:r/>
      <w:hyperlink r:id="rId14">
        <w:r>
          <w:rPr>
            <w:color w:val="0000EE"/>
            <w:u w:val="single"/>
          </w:rPr>
          <w:t>https://www.lgbtiqhealth.org.au/lgbtiagedcarejointstatement</w:t>
        </w:r>
      </w:hyperlink>
      <w:r>
        <w:t xml:space="preserve"> - A joint statement between LGBTIQ+ Health Australia and Australia’s aged care sector affirming the human rights and fundamental freedoms of all older people, including those who are lesbian, gay, bisexual, transgender, intersex, or of other sexual orientations or gender identities. The statement calls for inclusive and respectful aged care services that embrace the diversity of LGBTI older people’s backgrounds, life experiences, and individual characteristics.</w:t>
      </w:r>
      <w:r/>
    </w:p>
    <w:p>
      <w:pPr>
        <w:pStyle w:val="ListNumber"/>
        <w:spacing w:line="240" w:lineRule="auto"/>
        <w:ind w:left="720"/>
      </w:pPr>
      <w:r/>
      <w:hyperlink r:id="rId12">
        <w:r>
          <w:rPr>
            <w:color w:val="0000EE"/>
            <w:u w:val="single"/>
          </w:rPr>
          <w:t>https://onlinelibrary.wiley.com/doi/10.1111/ajag.70129</w:t>
        </w:r>
      </w:hyperlink>
      <w:r>
        <w:t xml:space="preserve"> - This study explores the perspectives of aged care providers, carers, and community stakeholders on opportunities and barriers to implementing culturally safe care for older LGBTIQA+ Australians. Thematic analysis identified two main themes: Inclusive and Culturally Safe Care, and Robust Governance for Inclusive Care. The findings reveal that engagement with aged care is severely undermined by historical trauma and a profound mistrust of formal services by some LGBTIQA+ older people.</w:t>
      </w:r>
      <w:r/>
    </w:p>
    <w:p>
      <w:pPr>
        <w:pStyle w:val="ListNumber"/>
        <w:spacing w:line="240" w:lineRule="auto"/>
        <w:ind w:left="720"/>
      </w:pPr>
      <w:r/>
      <w:hyperlink r:id="rId10">
        <w:r>
          <w:rPr>
            <w:color w:val="0000EE"/>
            <w:u w:val="single"/>
          </w:rPr>
          <w:t>https://research.sahmri.org.au/en/publications/aged-and-health-care-service-use-by-older-australians-who-identif/</w:t>
        </w:r>
      </w:hyperlink>
      <w:r>
        <w:t xml:space="preserve"> - This retrospective cohort study characterizes individuals who self-identify as LGBTI+ entering the long-term aged care sector in Australia and their aged and health care services utilization after an aged care eligibility assessment or entering care. The study provides insights into how LGBTI+ older adults use aged and health care services in Australia to inform policy to improve health equity, service design, and positively influence outcomes for this population.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ubmed.ncbi.nlm.nih.gov/34704656/" TargetMode="External"/><Relationship Id="rId10" Type="http://schemas.openxmlformats.org/officeDocument/2006/relationships/hyperlink" Target="https://research.sahmri.org.au/en/publications/aged-and-health-care-service-use-by-older-australians-who-identif/" TargetMode="External"/><Relationship Id="rId11" Type="http://schemas.openxmlformats.org/officeDocument/2006/relationships/hyperlink" Target="https://pubmed.ncbi.nlm.nih.gov/39903457/" TargetMode="External"/><Relationship Id="rId12" Type="http://schemas.openxmlformats.org/officeDocument/2006/relationships/hyperlink" Target="https://onlinelibrary.wiley.com/doi/10.1111/ajag.70129" TargetMode="External"/><Relationship Id="rId13" Type="http://schemas.openxmlformats.org/officeDocument/2006/relationships/hyperlink" Target="https://www.myagedcare.gov.au/support-for-lgbti-people" TargetMode="External"/><Relationship Id="rId14" Type="http://schemas.openxmlformats.org/officeDocument/2006/relationships/hyperlink" Target="https://www.lgbtiqhealth.org.au/lgbtiagedcarejointstatement" TargetMode="External"/><Relationship Id="rId15" Type="http://schemas.openxmlformats.org/officeDocument/2006/relationships/hyperlink" Target="https://theageingagenda.com.au/operations/resident-experience/how-to-improve-the-experience-for-lgbti-adul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