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 Bigger Table: Why LGBTQIA+ Voices Matter in Humanitarian Aid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Humanitarian crises can deepen existing inequalities for LGBTQIA+ people, making locally led, inclusive aid more urgent. Here’s why organisations are calling for better data, safer services and funding that reaches community groups already protecting people on the ground.</w:t>
      </w:r>
      <w:r/>
    </w:p>
    <w:p>
      <w:pPr>
        <w:pStyle w:val="Heading2"/>
      </w:pPr>
      <w:r>
        <w:t>Essential Takeaways</w:t>
      </w:r>
      <w:r/>
      <w:r/>
    </w:p>
    <w:p>
      <w:pPr>
        <w:pStyle w:val="ListBullet"/>
        <w:spacing w:line="240" w:lineRule="auto"/>
        <w:ind w:left="720"/>
      </w:pPr>
      <w:r/>
      <w:r>
        <w:rPr>
          <w:b/>
        </w:rPr>
        <w:t>Crisis magnifies exclusion:</w:t>
      </w:r>
      <w:r>
        <w:t xml:space="preserve"> Discrimination in housing, healthcare, protection and legal documentation can become more dangerous during emergencies.</w:t>
      </w:r>
      <w:r/>
    </w:p>
    <w:p>
      <w:pPr>
        <w:pStyle w:val="ListBullet"/>
        <w:spacing w:line="240" w:lineRule="auto"/>
        <w:ind w:left="720"/>
      </w:pPr>
      <w:r/>
      <w:r>
        <w:rPr>
          <w:b/>
        </w:rPr>
        <w:t>Local groups are crucial:</w:t>
      </w:r>
      <w:r>
        <w:t xml:space="preserve"> LGBTQIA+ organisations often understand community risks and can respond with trust, speed and cultural awareness.</w:t>
      </w:r>
      <w:r/>
    </w:p>
    <w:p>
      <w:pPr>
        <w:pStyle w:val="ListBullet"/>
        <w:spacing w:line="240" w:lineRule="auto"/>
        <w:ind w:left="720"/>
      </w:pPr>
      <w:r/>
      <w:r>
        <w:rPr>
          <w:b/>
        </w:rPr>
        <w:t>Funding remains fragile:</w:t>
      </w:r>
      <w:r>
        <w:t xml:space="preserve"> Outright International reports that many local LGBTIQ groups have lost funding while facing growing emergency needs.</w:t>
      </w:r>
      <w:r/>
    </w:p>
    <w:p>
      <w:pPr>
        <w:pStyle w:val="ListBullet"/>
        <w:spacing w:line="240" w:lineRule="auto"/>
        <w:ind w:left="720"/>
      </w:pPr>
      <w:r/>
      <w:r>
        <w:rPr>
          <w:b/>
        </w:rPr>
        <w:t>Inclusive planning saves lives:</w:t>
      </w:r>
      <w:r>
        <w:t xml:space="preserve"> Aid programmes should consider sexual orientation, gender identity and expression, and sex characteristics from the outset.</w:t>
      </w:r>
      <w:r/>
    </w:p>
    <w:p>
      <w:pPr>
        <w:pStyle w:val="ListBullet"/>
        <w:spacing w:line="240" w:lineRule="auto"/>
        <w:ind w:left="720"/>
      </w:pPr>
      <w:r/>
      <w:r>
        <w:rPr>
          <w:b/>
        </w:rPr>
        <w:t>Small details matter:</w:t>
      </w:r>
      <w:r>
        <w:t xml:space="preserve"> Names, medication, safe accommodation and confidential data handling can determine whether someone receives help or is pushed further into danger.</w:t>
      </w:r>
      <w:r/>
      <w:r/>
    </w:p>
    <w:p>
      <w:pPr>
        <w:pStyle w:val="Heading2"/>
      </w:pPr>
      <w:r>
        <w:t>When disaster arrives, old barriers become harder to escape</w:t>
      </w:r>
      <w:r/>
    </w:p>
    <w:p>
      <w:r/>
      <w:r>
        <w:t>A humanitarian crisis doesn't affect everyone in the same way. For LGBTQIA+ people, a lost home, damaged health service or missing identity document can quickly become a compound emergency, particularly where discrimination was already part of everyday life.</w:t>
      </w:r>
      <w:r/>
    </w:p>
    <w:p>
      <w:r/>
      <w:r>
        <w:t>The Disaster Philanthropy organisation notes that LGBTQIA+ communities may face particular risks during disasters, including unsafe shelters, interrupted medication, isolation and difficulty accessing relief. The International Committee of the Red Cross has also highlighted how sexual and gender-based violence can affect men, boys and people with diverse sexual orientations and gender identities, groups that are often overlooked in emergency planning.</w:t>
      </w:r>
      <w:r/>
    </w:p>
    <w:p>
      <w:r/>
      <w:r>
        <w:t>Even apparently routine processes can cause harm. A mismatch between someone's legal name and gender identity may create delays or expose them to harassment at a registration desk. For a trans person relying on hormone treatment, interruption isn't a minor inconvenience; it can affect physical and mental wellbeing at precisely the moment support systems are weakest.</w:t>
      </w:r>
      <w:r/>
    </w:p>
    <w:p>
      <w:pPr>
        <w:pStyle w:val="Heading2"/>
      </w:pPr>
      <w:r>
        <w:t>Local LGBTQIA+ groups often know where the gaps are</w:t>
      </w:r>
      <w:r/>
    </w:p>
    <w:p>
      <w:r/>
      <w:r>
        <w:t>This is where locally led humanitarian action becomes more than a policy phrase. Community organisations are often closest to the people most likely to be missed by mainstream systems, and they can identify risks that larger agencies may not see from a distance.</w:t>
      </w:r>
      <w:r/>
    </w:p>
    <w:p>
      <w:r/>
      <w:r>
        <w:t>The Humanitarian Leadership Academy's work on aid through a queer lens points to the importance of listening to LGBTQIA+ refugees and local groups when designing services. That means asking what safety looks like in a particular place, rather than assuming a standard shelter, clinic or registration system will work for everyone.</w:t>
      </w:r>
      <w:r/>
    </w:p>
    <w:p>
      <w:r/>
      <w:r>
        <w:t>There’s a practical benefit, too. Trusted groups may already know which clinics are discreet, which accommodation providers are safer and how to reach people who avoid official services. As Oxfam's wider work on locally led response argues, shifting power towards local actors can make humanitarian action more accountable and more relevant.</w:t>
      </w:r>
      <w:r/>
    </w:p>
    <w:p>
      <w:pPr>
        <w:pStyle w:val="Heading2"/>
      </w:pPr>
      <w:r>
        <w:t>Funding cuts leave vital protection hanging by a thread</w:t>
      </w:r>
      <w:r/>
    </w:p>
    <w:p>
      <w:r/>
      <w:r>
        <w:t>The financial picture is particularly stark. Outright International's Breaking Point research describes severe pressure on LGBTIQ organisations worldwide, with local groups reporting lost funding alongside rising protection and emergency needs.</w:t>
      </w:r>
      <w:r/>
    </w:p>
    <w:p>
      <w:r/>
      <w:r>
        <w:t>That squeeze matters because smaller organisations are often expected to respond quickly, but without the reserves, staffing or infrastructure available to larger international agencies. A group might be helping people find safe housing one week and navigating an emergency evacuation the next, all while trying to keep its own operation afloat.</w:t>
      </w:r>
      <w:r/>
    </w:p>
    <w:p>
      <w:r/>
      <w:r>
        <w:t>There are promising models. Outright's Ukraine LGBTIQ Emergency Fund directed support to organisations assisting communities affected by war and displacement, showing how targeted funding can reach groups with specialist knowledge. But such examples remain too unusual. Sustainable, flexible grants would allow local organisations to prepare, not simply react when a crisis is already under way.</w:t>
      </w:r>
      <w:r/>
    </w:p>
    <w:p>
      <w:pPr>
        <w:pStyle w:val="Heading2"/>
      </w:pPr>
      <w:r>
        <w:t>Better data starts with safer questions</w:t>
      </w:r>
      <w:r/>
    </w:p>
    <w:p>
      <w:r/>
      <w:r>
        <w:t>Humanitarian agencies frequently collect information about age and gender, but that isn't enough to understand who is being left out. The MSF literature review on global LGBTQIA+ health disparities stresses that weak or inconsistent data can obscure serious differences in access, risk and outcomes.</w:t>
      </w:r>
      <w:r/>
    </w:p>
    <w:p>
      <w:r/>
      <w:r>
        <w:t>Collecting more information, however, isn't automatically inclusive. People need to know why questions are being asked, how answers will be protected and whether disclosure could put them at risk. Confidentiality, staff training and careful data management are essential, particularly in places where LGBTQIA+ identities are criminalised or heavily stigmatised.</w:t>
      </w:r>
      <w:r/>
    </w:p>
    <w:p>
      <w:r/>
      <w:r>
        <w:t>The best approach is not to turn identity into another bureaucratic hurdle. It’s to design services that work safely for a range of people, then use responsible evidence to improve them. Sometimes that means offering a private conversation, flexible documentation rules or a choice of how someone is identified.</w:t>
      </w:r>
      <w:r/>
    </w:p>
    <w:p>
      <w:pPr>
        <w:pStyle w:val="Heading2"/>
      </w:pPr>
      <w:r>
        <w:t>What inclusive humanitarian aid looks like in practice</w:t>
      </w:r>
      <w:r/>
    </w:p>
    <w:p>
      <w:r/>
      <w:r>
        <w:t>A more inclusive response begins before the emergency. Organisations can consult LGBTQIA+ groups during preparedness planning, include SOGIESC considerations in risk assessments and make sure staff understand the needs of people with diverse identities and expressions.</w:t>
      </w:r>
      <w:r/>
    </w:p>
    <w:p>
      <w:r/>
      <w:r>
        <w:t>It also means looking beyond a single service. Safe shelter, healthcare, mental-health support, legal assistance and protection are connected. Oxfam's Ukraine research recommends integrating LGBTQIA+ perspectives into humanitarian design, creating safe spaces, acting as a genuine ally and establishing funding mechanisms specifically for LGBTQIA+ communities and organisations.</w:t>
      </w:r>
      <w:r/>
    </w:p>
    <w:p>
      <w:r/>
      <w:r>
        <w:t>The wider lesson is simple but easy to miss: inclusion shouldn't be an optional extra added once the main plan is complete. A response built with the people most likely to be excluded will usually be stronger for everyone. As one community worker might put it, a bigger table isn't just more welcoming; it gives the whole room a better view of what’s happening.</w:t>
      </w:r>
      <w:r/>
    </w:p>
    <w:p>
      <w:r/>
      <w:r>
        <w:t>The next test will be whether humanitarian funders and agencies turn that principle into routine practice, with money, decision-making power and accountability following the promise.</w:t>
      </w:r>
      <w:r/>
    </w:p>
    <w:p>
      <w:r/>
      <w:r>
        <w:rPr>
          <w:b/>
        </w:rPr>
        <w:t>Inclusive aid works best when the people most affected help shape it from the start.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[3]</w:t>
        </w:r>
      </w:hyperlink>
      <w:r>
        <w:t xml:space="preserve">- Paragraph 2: </w:t>
      </w:r>
      <w:hyperlink r:id="rId12">
        <w:r>
          <w:rPr>
            <w:color w:val="0000EE"/>
            <w:u w:val="single"/>
          </w:rPr>
          <w:t>[6]</w:t>
        </w:r>
      </w:hyperlink>
      <w:r>
        <w:t xml:space="preserve">, </w:t>
      </w:r>
      <w:hyperlink r:id="rId13">
        <w:r>
          <w:rPr>
            <w:color w:val="0000EE"/>
            <w:u w:val="single"/>
          </w:rPr>
          <w:t>[4]</w:t>
        </w:r>
      </w:hyperlink>
      <w:r>
        <w:t xml:space="preserve">- Paragraph 3: </w:t>
      </w:r>
      <w:hyperlink r:id="rId10">
        <w:r>
          <w:rPr>
            <w:color w:val="0000EE"/>
            <w:u w:val="single"/>
          </w:rPr>
          <w:t>[5]</w:t>
        </w:r>
      </w:hyperlink>
      <w:r>
        <w:t xml:space="preserve">, </w:t>
      </w:r>
      <w:hyperlink r:id="rId11">
        <w:r>
          <w:rPr>
            <w:color w:val="0000EE"/>
            <w:u w:val="single"/>
          </w:rPr>
          <w:t>[3]</w:t>
        </w:r>
      </w:hyperlink>
      <w:r>
        <w:t xml:space="preserve">- Paragraph 4: </w:t>
      </w:r>
      <w:hyperlink r:id="rId13">
        <w:r>
          <w:rPr>
            <w:color w:val="0000EE"/>
            <w:u w:val="single"/>
          </w:rPr>
          <w:t>[4]</w:t>
        </w:r>
      </w:hyperlink>
      <w:r>
        <w:t xml:space="preserve">, </w:t>
      </w:r>
      <w:hyperlink r:id="rId14">
        <w:r>
          <w:rPr>
            <w:color w:val="0000EE"/>
            <w:u w:val="single"/>
          </w:rPr>
          <w:t>[7]</w:t>
        </w:r>
      </w:hyperlink>
      <w:r>
        <w:t xml:space="preserve">- Paragraph 5: </w:t>
      </w:r>
      <w:hyperlink r:id="rId15">
        <w:r>
          <w:rPr>
            <w:color w:val="0000EE"/>
            <w:u w:val="single"/>
          </w:rPr>
          <w:t>[2]</w:t>
        </w:r>
      </w:hyperlink>
      <w:r>
        <w:t xml:space="preserve">, </w:t>
      </w:r>
      <w:hyperlink r:id="rId14">
        <w:r>
          <w:rPr>
            <w:color w:val="0000EE"/>
            <w:u w:val="single"/>
          </w:rPr>
          <w:t>[7]</w:t>
        </w:r>
      </w:hyperlink>
      <w:r>
        <w:t xml:space="preserve">- Paragraph 6: </w:t>
      </w:r>
      <w:hyperlink r:id="rId15">
        <w:r>
          <w:rPr>
            <w:color w:val="0000EE"/>
            <w:u w:val="single"/>
          </w:rPr>
          <w:t>[2]</w:t>
        </w:r>
      </w:hyperlink>
      <w:r>
        <w:t xml:space="preserve">, </w:t>
      </w:r>
      <w:hyperlink r:id="rId10">
        <w:r>
          <w:rPr>
            <w:color w:val="0000EE"/>
            <w:u w:val="single"/>
          </w:rPr>
          <w:t>[5]</w:t>
        </w:r>
      </w:hyperlink>
      <w:r>
        <w:t xml:space="preserve">- Paragraph 7: </w:t>
      </w:r>
      <w:hyperlink r:id="rId15">
        <w:r>
          <w:rPr>
            <w:color w:val="0000EE"/>
            <w:u w:val="single"/>
          </w:rPr>
          <w:t>[2]</w:t>
        </w:r>
      </w:hyperlink>
      <w:r>
        <w:t xml:space="preserve">, </w:t>
      </w:r>
      <w:hyperlink r:id="rId13">
        <w:r>
          <w:rPr>
            <w:color w:val="0000EE"/>
            <w:u w:val="single"/>
          </w:rPr>
          <w:t>[4]</w:t>
        </w:r>
      </w:hyperlink>
      <w:r>
        <w:t xml:space="preserve">- Paragraph 8: </w:t>
      </w:r>
      <w:hyperlink r:id="rId12">
        <w:r>
          <w:rPr>
            <w:color w:val="0000EE"/>
            <w:u w:val="single"/>
          </w:rPr>
          <w:t>[6]</w:t>
        </w:r>
      </w:hyperlink>
      <w:r>
        <w:t xml:space="preserve">- Paragraph 9: </w:t>
      </w:r>
      <w:hyperlink r:id="rId12">
        <w:r>
          <w:rPr>
            <w:color w:val="0000EE"/>
            <w:u w:val="single"/>
          </w:rPr>
          <w:t>[6]</w:t>
        </w:r>
      </w:hyperlink>
      <w:r>
        <w:t xml:space="preserve">, </w:t>
      </w:r>
      <w:hyperlink r:id="rId10">
        <w:r>
          <w:rPr>
            <w:color w:val="0000EE"/>
            <w:u w:val="single"/>
          </w:rPr>
          <w:t>[5]</w:t>
        </w:r>
      </w:hyperlink>
      <w:r>
        <w:t xml:space="preserve">- Paragraph 10: </w:t>
      </w:r>
      <w:hyperlink r:id="rId14">
        <w:r>
          <w:rPr>
            <w:color w:val="0000EE"/>
            <w:u w:val="single"/>
          </w:rPr>
          <w:t>[7]</w:t>
        </w:r>
      </w:hyperlink>
      <w:r>
        <w:t xml:space="preserve">, </w:t>
      </w:r>
      <w:hyperlink r:id="rId13">
        <w:r>
          <w:rPr>
            <w:color w:val="0000EE"/>
            <w:u w:val="single"/>
          </w:rPr>
          <w:t>[4]</w:t>
        </w:r>
      </w:hyperlink>
      <w:r>
        <w:t xml:space="preserve">- Paragraph 11: </w:t>
      </w:r>
      <w:hyperlink r:id="rId14">
        <w:r>
          <w:rPr>
            <w:color w:val="0000EE"/>
            <w:u w:val="single"/>
          </w:rPr>
          <w:t>[7]</w:t>
        </w:r>
      </w:hyperlink>
      <w:r>
        <w:t xml:space="preserve">, </w:t>
      </w:r>
      <w:hyperlink r:id="rId10">
        <w:r>
          <w:rPr>
            <w:color w:val="0000EE"/>
            <w:u w:val="single"/>
          </w:rPr>
          <w:t>[5]</w:t>
        </w:r>
      </w:hyperlink>
      <w:r>
        <w:t xml:space="preserve">- Paragraph 12: </w:t>
      </w:r>
      <w:hyperlink r:id="rId14">
        <w:r>
          <w:rPr>
            <w:color w:val="0000EE"/>
            <w:u w:val="single"/>
          </w:rPr>
          <w:t>[7]</w:t>
        </w:r>
      </w:hyperlink>
      <w:r>
        <w:t xml:space="preserve">, </w:t>
      </w:r>
      <w:hyperlink r:id="rId15">
        <w:r>
          <w:rPr>
            <w:color w:val="0000EE"/>
            <w:u w:val="single"/>
          </w:rPr>
          <w:t>[2]</w:t>
        </w:r>
      </w:hyperlink>
      <w:r>
        <w:t xml:space="preserve">- Paragraph 13: </w:t>
      </w:r>
      <w:hyperlink r:id="rId13">
        <w:r>
          <w:rPr>
            <w:color w:val="0000EE"/>
            <w:u w:val="single"/>
          </w:rPr>
          <w:t>[4]</w:t>
        </w:r>
      </w:hyperlink>
      <w:r>
        <w:t xml:space="preserve">, </w:t>
      </w:r>
      <w:hyperlink r:id="rId14">
        <w:r>
          <w:rPr>
            <w:color w:val="0000EE"/>
            <w:u w:val="single"/>
          </w:rPr>
          <w:t>[7]</w:t>
        </w:r>
      </w:hyperlink>
      <w:r>
        <w:t xml:space="preserve">- Paragraph 14: </w:t>
      </w:r>
      <w:hyperlink r:id="rId15">
        <w:r>
          <w:rPr>
            <w:color w:val="0000EE"/>
            <w:u w:val="single"/>
          </w:rPr>
          <w:t>[2]</w:t>
        </w:r>
      </w:hyperlink>
      <w:r>
        <w:t xml:space="preserve">, </w:t>
      </w:r>
      <w:hyperlink r:id="rId12">
        <w:r>
          <w:rPr>
            <w:color w:val="0000EE"/>
            <w:u w:val="single"/>
          </w:rPr>
          <w:t>[6]</w:t>
        </w:r>
      </w:hyperlink>
      <w:r>
        <w:t xml:space="preserve">- Paragraph 15: </w:t>
      </w:r>
      <w:hyperlink r:id="rId13">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https://politicsofpoverty.oxfamamerica.org/a-bigger-table/</w:t>
        </w:r>
      </w:hyperlink>
      <w:r>
        <w:t xml:space="preserve"> - Please view link - unable to able to access data</w:t>
      </w:r>
      <w:r/>
    </w:p>
    <w:p>
      <w:pPr>
        <w:pStyle w:val="ListNumber"/>
        <w:spacing w:line="240" w:lineRule="auto"/>
        <w:ind w:left="720"/>
      </w:pPr>
      <w:r/>
      <w:hyperlink r:id="rId15">
        <w:r>
          <w:rPr>
            <w:color w:val="0000EE"/>
            <w:u w:val="single"/>
          </w:rPr>
          <w:t>https://outrightinternational.org/breaking-point</w:t>
        </w:r>
      </w:hyperlink>
      <w:r>
        <w:t xml:space="preserve"> - Outright International's 'Breaking Point' report reveals that 89% of 229 surveyed LGBTIQ organizations across 94 countries lost funding since January 2025. The report highlights that 73% of organizations operating in humanitarian crisis or armed conflict contexts are unable to respond to emergencies or protection needs, underscoring the urgent need for investment in global LGBTIQ movements.</w:t>
      </w:r>
      <w:r/>
    </w:p>
    <w:p>
      <w:pPr>
        <w:pStyle w:val="ListNumber"/>
        <w:spacing w:line="240" w:lineRule="auto"/>
        <w:ind w:left="720"/>
      </w:pPr>
      <w:r/>
      <w:hyperlink r:id="rId11">
        <w:r>
          <w:rPr>
            <w:color w:val="0000EE"/>
            <w:u w:val="single"/>
          </w:rPr>
          <w:t>https://www.icrc.org/en/document/sexual-gender-violence-against-men-boys-lgbtiq</w:t>
        </w:r>
      </w:hyperlink>
      <w:r>
        <w:t xml:space="preserve"> - The International Committee of the Red Cross (ICRC) emphasizes the need to protect men, boys, and LGBTIQ+ individuals from sexual and gender-based violence in humanitarian settings. The ICRC calls for inclusive and non-discriminatory domestic legislation and survivor-centred responses, including medical, psychosocial, and legal support, to address the specific needs of these groups.</w:t>
      </w:r>
      <w:r/>
    </w:p>
    <w:p>
      <w:pPr>
        <w:pStyle w:val="ListNumber"/>
        <w:spacing w:line="240" w:lineRule="auto"/>
        <w:ind w:left="720"/>
      </w:pPr>
      <w:r/>
      <w:hyperlink r:id="rId13">
        <w:r>
          <w:rPr>
            <w:color w:val="0000EE"/>
            <w:u w:val="single"/>
          </w:rPr>
          <w:t>https://www.humanitarianleadershipacademy.org/resources/humanitarian-aid-through-a-queer-lens-lgbti-and-refugee-rights-in-crisis/</w:t>
        </w:r>
      </w:hyperlink>
      <w:r>
        <w:t xml:space="preserve"> - A report by KAOS GL explores the challenges faced by LGBTQI+ individuals in accessing crisis support after the February 2023 earthquakes in Türkiye and Syria. It highlights that LGBTQI+ individuals often hesitate to seek help due to the absence of inclusive policies, leading to increased vulnerability and unmet needs.</w:t>
      </w:r>
      <w:r/>
    </w:p>
    <w:p>
      <w:pPr>
        <w:pStyle w:val="ListNumber"/>
        <w:spacing w:line="240" w:lineRule="auto"/>
        <w:ind w:left="720"/>
      </w:pPr>
      <w:r/>
      <w:hyperlink r:id="rId10">
        <w:r>
          <w:rPr>
            <w:color w:val="0000EE"/>
            <w:u w:val="single"/>
          </w:rPr>
          <w:t>https://disasterphilanthropy.org/cdp-resource/lgbtqia-communities-and-disasters/</w:t>
        </w:r>
      </w:hyperlink>
      <w:r>
        <w:t xml:space="preserve"> - The Center for Disaster Philanthropy discusses the heightened vulnerabilities of LGBTQIA+ communities before, during, and after disasters. It notes that these communities face higher rates of poverty and exclusion from social services, and that disasters can exacerbate these issues if relief efforts fail to intentionally include LGBTQIA+ individuals in planning and response.</w:t>
      </w:r>
      <w:r/>
    </w:p>
    <w:p>
      <w:pPr>
        <w:pStyle w:val="ListNumber"/>
        <w:spacing w:line="240" w:lineRule="auto"/>
        <w:ind w:left="720"/>
      </w:pPr>
      <w:r/>
      <w:hyperlink r:id="rId12">
        <w:r>
          <w:rPr>
            <w:color w:val="0000EE"/>
            <w:u w:val="single"/>
          </w:rPr>
          <w:t>https://www.msf.org/sites/default/files/2025-09/Literature%20Review_Health%20Disparities%20for%20LGBTQIA%2B%20people%2C%20an%20Emerging%20neglected%20global%20health%20crisis_2025_Final.pdf</w:t>
        </w:r>
      </w:hyperlink>
      <w:r>
        <w:t xml:space="preserve"> - A report by Médecins Sans Frontières (MSF) highlights the health disparities faced by LGBTQIA+ individuals, describing them as an emerging neglected global health crisis. It emphasizes that the exclusion of LGBTQIA+ people from humanitarian care violates humanitarian principles of impartiality and non-discrimination, calling for improved care and inclusion in humanitarian responses.</w:t>
      </w:r>
      <w:r/>
    </w:p>
    <w:p>
      <w:pPr>
        <w:pStyle w:val="ListNumber"/>
        <w:spacing w:line="240" w:lineRule="auto"/>
        <w:ind w:left="720"/>
      </w:pPr>
      <w:r/>
      <w:hyperlink r:id="rId14">
        <w:r>
          <w:rPr>
            <w:color w:val="0000EE"/>
            <w:u w:val="single"/>
          </w:rPr>
          <w:t>https://www.oxfamamerica.org/a-bigger-table/</w:t>
        </w:r>
      </w:hyperlink>
      <w:r>
        <w:t xml:space="preserve"> - In this Oxfam America blog post, Sebastián Molano discusses the critical need for LGBTQIA+ inclusion in local humanitarian leadership. He highlights that LGBTQIA+ individuals face unique challenges during humanitarian crises due to exacerbated pre-existing inequalities and discrimination, and calls for a more intentional approach to uplift SOGIESC voices and organizations in localization efforts.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oliticsofpoverty.oxfamamerica.org/a-bigger-table/" TargetMode="External"/><Relationship Id="rId10" Type="http://schemas.openxmlformats.org/officeDocument/2006/relationships/hyperlink" Target="https://disasterphilanthropy.org/cdp-resource/lgbtqia-communities-and-disasters/" TargetMode="External"/><Relationship Id="rId11" Type="http://schemas.openxmlformats.org/officeDocument/2006/relationships/hyperlink" Target="https://www.icrc.org/en/document/sexual-gender-violence-against-men-boys-lgbtiq" TargetMode="External"/><Relationship Id="rId12" Type="http://schemas.openxmlformats.org/officeDocument/2006/relationships/hyperlink" Target="https://www.msf.org/sites/default/files/2025-09/Literature%20Review_Health%20Disparities%20for%20LGBTQIA%2B%20people%2C%20an%20Emerging%20neglected%20global%20health%20crisis_2025_Final.pdf" TargetMode="External"/><Relationship Id="rId13" Type="http://schemas.openxmlformats.org/officeDocument/2006/relationships/hyperlink" Target="https://www.humanitarianleadershipacademy.org/resources/humanitarian-aid-through-a-queer-lens-lgbti-and-refugee-rights-in-crisis/" TargetMode="External"/><Relationship Id="rId14" Type="http://schemas.openxmlformats.org/officeDocument/2006/relationships/hyperlink" Target="https://www.oxfamamerica.org/a-bigger-table/" TargetMode="External"/><Relationship Id="rId15" Type="http://schemas.openxmlformats.org/officeDocument/2006/relationships/hyperlink" Target="https://outrightinternational.org/breaking-po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