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Improving psychological safety for LGBTIQ+ workers in aged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Aged care providers are being urged to make psychological safety for LGBTIQ+ workers part of everyday practice, not just a line in an inclusion policy. Better training, visible leadership and respectful reporting systems can help staff feel secure, valued and able to deliver genuinely inclusive care to older Australians.</w:t>
      </w:r>
      <w:r/>
    </w:p>
    <w:p>
      <w:pPr>
        <w:pStyle w:val="Heading2"/>
      </w:pPr>
      <w:r>
        <w:t>Essential Takeaways</w:t>
      </w:r>
      <w:r/>
      <w:r/>
    </w:p>
    <w:p>
      <w:pPr>
        <w:pStyle w:val="ListBullet"/>
        <w:spacing w:line="240" w:lineRule="auto"/>
        <w:ind w:left="720"/>
      </w:pPr>
      <w:r/>
      <w:r>
        <w:rPr>
          <w:b/>
        </w:rPr>
        <w:t>Safety affects care:</w:t>
      </w:r>
      <w:r>
        <w:t xml:space="preserve"> Staff who feel able to speak up and participate fully are better placed to support residents.</w:t>
      </w:r>
      <w:r/>
    </w:p>
    <w:p>
      <w:pPr>
        <w:pStyle w:val="ListBullet"/>
        <w:spacing w:line="240" w:lineRule="auto"/>
        <w:ind w:left="720"/>
      </w:pPr>
      <w:r/>
      <w:r>
        <w:rPr>
          <w:b/>
        </w:rPr>
        <w:t>Disclosure is personal:</w:t>
      </w:r>
      <w:r>
        <w:t xml:space="preserve"> LGBTIQ+ workers should never be expected to reveal their identity or explain their circumstances.</w:t>
      </w:r>
      <w:r/>
    </w:p>
    <w:p>
      <w:pPr>
        <w:pStyle w:val="ListBullet"/>
        <w:spacing w:line="240" w:lineRule="auto"/>
        <w:ind w:left="720"/>
      </w:pPr>
      <w:r/>
      <w:r>
        <w:rPr>
          <w:b/>
        </w:rPr>
        <w:t>Policies need action:</w:t>
      </w:r>
      <w:r>
        <w:t xml:space="preserve"> Clear standards, reporting routes and trained managers matter more than paperwork alone.</w:t>
      </w:r>
      <w:r/>
    </w:p>
    <w:p>
      <w:pPr>
        <w:pStyle w:val="ListBullet"/>
        <w:spacing w:line="240" w:lineRule="auto"/>
        <w:ind w:left="720"/>
      </w:pPr>
      <w:r/>
      <w:r>
        <w:rPr>
          <w:b/>
        </w:rPr>
        <w:t>Training should be practical:</w:t>
      </w:r>
      <w:r>
        <w:t xml:space="preserve"> Pronouns, privacy, bystander action and respectful communication all belong in regular workplace learning.</w:t>
      </w:r>
      <w:r/>
    </w:p>
    <w:p>
      <w:pPr>
        <w:pStyle w:val="ListBullet"/>
        <w:spacing w:line="240" w:lineRule="auto"/>
        <w:ind w:left="720"/>
      </w:pPr>
      <w:r/>
      <w:r>
        <w:rPr>
          <w:b/>
        </w:rPr>
        <w:t>Visibility can help:</w:t>
      </w:r>
      <w:r>
        <w:t xml:space="preserve"> Resource groups, inclusive materials and supportive leaders can make belonging feel real rather than symbolic.</w:t>
      </w:r>
      <w:r/>
      <w:r/>
    </w:p>
    <w:p>
      <w:pPr>
        <w:pStyle w:val="Heading2"/>
      </w:pPr>
      <w:r>
        <w:t>Psychological safety starts with the workforce</w:t>
      </w:r>
      <w:r/>
    </w:p>
    <w:p>
      <w:r/>
      <w:r>
        <w:t>Aged care workers can't provide fully inclusive support if they spend their working day wondering whether it's safe to be themselves. For LGBTIQ+ employees, that uncertainty can show up in small, tiring moments: deciding whether to mention a partner, correcting a pronoun or weighing up whether a manager will take a concern seriously.</w:t>
      </w:r>
      <w:r/>
    </w:p>
    <w:p>
      <w:r/>
      <w:r>
        <w:t>The issue matters beyond staff wellbeing. According to ARIIA and LGBTIQ+ Health Australia, psychological safety affects whether workers can speak up, raise concerns and take part confidently in workplace life. In a sector built around trust, those everyday conditions can influence the quality and warmth of care. (ARIIA)</w:t>
      </w:r>
      <w:r/>
    </w:p>
    <w:p>
      <w:pPr>
        <w:pStyle w:val="Heading2"/>
      </w:pPr>
      <w:r>
        <w:t>Why better data and visibility matter</w:t>
      </w:r>
      <w:r/>
    </w:p>
    <w:p>
      <w:r/>
      <w:r>
        <w:t>Australia still has an incomplete picture of how many LGBTIQ+ people work across health and social care, including aged care. More detailed national data could help governments and providers understand where workers are based and which workplace policies need attention.</w:t>
      </w:r>
      <w:r/>
    </w:p>
    <w:p>
      <w:r/>
      <w:r>
        <w:t>That visibility shouldn't become pressure on individuals to identify themselves. Instead, it should support better planning, stronger services and a clearer understanding that LGBTIQ+ workers are already part of the care workforce. LGBTIQ+ Health Australia has also highlighted the importance of recognising diverse older people and their experiences within aged care. (LGBTIQ+ Health Australia)</w:t>
      </w:r>
      <w:r/>
    </w:p>
    <w:p>
      <w:r/>
      <w:r>
        <w:t>A diverse workforce can bring useful lived experience and community knowledge, but it shouldn't be treated as a free source of expertise. People should be supported to contribute if they want to, without being expected to educate colleagues or represent an entire community.</w:t>
      </w:r>
      <w:r/>
    </w:p>
    <w:p>
      <w:pPr>
        <w:pStyle w:val="Heading2"/>
      </w:pPr>
      <w:r>
        <w:t>A policy on the wall isn't enough</w:t>
      </w:r>
      <w:r/>
    </w:p>
    <w:p>
      <w:r/>
      <w:r>
        <w:t>Workplace policies are a useful starting point, but they don't automatically create trust. Staff need to see leaders applying the rules consistently, responding to poor behaviour and protecting privacy when concerns are raised.</w:t>
      </w:r>
      <w:r/>
    </w:p>
    <w:p>
      <w:r/>
      <w:r>
        <w:t>That includes setting out what unacceptable conduct looks like, who should receive a report and what happens next. The same expectations should apply to employees, managers, contractors, residents, visitors and others in the care environment, with appropriate safeguards for everyone involved. (ARIIA)</w:t>
      </w:r>
      <w:r/>
    </w:p>
    <w:p>
      <w:r/>
      <w:r>
        <w:t>For workers considering whether to be open about their identity, the answer often depends on the atmosphere around them. A respectful manager, a calm response to a correction and a clear anti-discrimination process can make a workplace feel safer. A single careless joke can undo much of that progress.</w:t>
      </w:r>
      <w:r/>
    </w:p>
    <w:p>
      <w:pPr>
        <w:pStyle w:val="Heading2"/>
      </w:pPr>
      <w:r>
        <w:t>Training needs to reach the everyday details</w:t>
      </w:r>
      <w:r/>
    </w:p>
    <w:p>
      <w:r/>
      <w:r>
        <w:t>Good training goes beyond explaining a set of initials. It should cover pronouns, respectful language, privacy, gender affirmation, trauma-aware responses and how colleagues can intervene when behaviour crosses a line.</w:t>
      </w:r>
      <w:r/>
    </w:p>
    <w:p>
      <w:r/>
      <w:r>
        <w:t>Recruitment, promotion, leave, uniforms, forms, records, facilities and family benefits also deserve a close look. Seemingly neutral systems can quietly assume that every worker has the same family structure, gender identity or personal circumstances. My Aged Care's guidance on support for LGBTI people reinforces the wider need for services to recognise identity, relationships and individual preferences in care settings. (My Aged Care)</w:t>
      </w:r>
      <w:r/>
    </w:p>
    <w:p>
      <w:r/>
      <w:r>
        <w:t>Regular refreshers are particularly important in aged care, where teams may include permanent staff, agency workers, volunteers and people working across different sites. Inclusion has to travel with the worker, rather than depend on one sympathetic supervisor.</w:t>
      </w:r>
      <w:r/>
    </w:p>
    <w:p>
      <w:pPr>
        <w:pStyle w:val="Heading2"/>
      </w:pPr>
      <w:r>
        <w:t>What leaders can do next</w:t>
      </w:r>
      <w:r/>
    </w:p>
    <w:p>
      <w:r/>
      <w:r>
        <w:t>Providers can begin with practical steps: ask staff what makes the workplace feel safe, review reporting pathways, train managers and check whether policies are visible in daily operations. Consultation should be confidential and voluntary, with no expectation that LGBTIQ+ employees disclose personal information.</w:t>
      </w:r>
      <w:r/>
    </w:p>
    <w:p>
      <w:r/>
      <w:r>
        <w:t>Visible support can help too. Employee networks, mentoring, inclusive posters and carefully chosen resources can signal that LGBTIQ+ people belong, while initiatives such as Silver Rainbow offer specialist knowledge for organisations working with older LGBTIQ+ communities. (Silver Rainbow)</w:t>
      </w:r>
      <w:r/>
    </w:p>
    <w:p>
      <w:r/>
      <w:r>
        <w:t>The strongest approach is ongoing rather than seasonal. Joint sector statements from LGBTIQ+ Health Australia and aged care organisations have stressed the importance of respectful, inclusive and person-centred care, and that principle applies to staff as much as residents. (LGBTIQ+ Health Australia)</w:t>
      </w:r>
      <w:r/>
    </w:p>
    <w:p>
      <w:r/>
      <w:r>
        <w:t>When inclusion becomes part of workforce planning, risk management and supervision, psychological safety stops being a slogan. It becomes something workers can feel in the quiet, ordinary moments of a working day.</w:t>
      </w:r>
      <w:r/>
    </w:p>
    <w:p>
      <w:r/>
      <w:r>
        <w:t>It's a small shift in workplace practice, but it can make aged care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5">
        <w:r>
          <w:rPr>
            <w:color w:val="0000EE"/>
            <w:u w:val="single"/>
          </w:rPr>
          <w:t>[4]</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https://theageingagenda.com.au/workforce/improving-psychological-safety-for-lgbtiq-workers/</w:t>
        </w:r>
      </w:hyperlink>
      <w:r>
        <w:t xml:space="preserve"> - Please view link - unable to able to access data</w:t>
      </w:r>
      <w:r/>
    </w:p>
    <w:p>
      <w:pPr>
        <w:pStyle w:val="ListNumber"/>
        <w:spacing w:line="240" w:lineRule="auto"/>
        <w:ind w:left="720"/>
      </w:pPr>
      <w:r/>
      <w:hyperlink r:id="rId10">
        <w:r>
          <w:rPr>
            <w:color w:val="0000EE"/>
            <w:u w:val="single"/>
          </w:rPr>
          <w:t>https://ariia.org.au/knowledge-implementation-hub/resources/improving-psychological-safety-lgbtiq-employees</w:t>
        </w:r>
      </w:hyperlink>
      <w:r>
        <w:t xml:space="preserve"> - This article discusses the importance of psychological safety for LGBTIQ+ employees in the workplace, highlighting that many still face discrimination and exclusion. It outlines the responsibilities of aged care employers under the Work Health and Safety Act to manage psychosocial hazards, including bullying and harassment. The piece defines psychological safety as the ability to speak up and be oneself without fear, and provides practical examples of how this can manifest in the workplace. It also addresses the challenges LGBTIQ+ workers face in disclosing their identities and the need for inclusive policies and training.</w:t>
      </w:r>
      <w:r/>
    </w:p>
    <w:p>
      <w:pPr>
        <w:pStyle w:val="ListNumber"/>
        <w:spacing w:line="240" w:lineRule="auto"/>
        <w:ind w:left="720"/>
      </w:pPr>
      <w:r/>
      <w:hyperlink r:id="rId11">
        <w:r>
          <w:rPr>
            <w:color w:val="0000EE"/>
            <w:u w:val="single"/>
          </w:rPr>
          <w:t>https://www.lgbtiqhealth.org.au/findings_of_the_royal_commission_into_aged_care</w:t>
        </w:r>
      </w:hyperlink>
      <w:r>
        <w:t xml:space="preserve"> - This article presents the findings of the Royal Commission into Aged Care Quality and Safety, focusing on the impact on LGBTIQ+ individuals. It highlights cases of abuse and neglect, revealing systemic issues within the aged care system. The piece emphasizes the increased risk of abuse, isolation, and discrimination faced by LGBTIQ+ older people and discusses the need for training, regulation, and increased funding to address these issues.</w:t>
      </w:r>
      <w:r/>
    </w:p>
    <w:p>
      <w:pPr>
        <w:pStyle w:val="ListNumber"/>
        <w:spacing w:line="240" w:lineRule="auto"/>
        <w:ind w:left="720"/>
      </w:pPr>
      <w:r/>
      <w:hyperlink r:id="rId15">
        <w:r>
          <w:rPr>
            <w:color w:val="0000EE"/>
            <w:u w:val="single"/>
          </w:rPr>
          <w:t>https://silverrainbow.lgbtiqhealth.org.au/</w:t>
        </w:r>
      </w:hyperlink>
      <w:r>
        <w:t xml:space="preserve"> - Silver Rainbow is a program aimed at building the capacity of aged care services to provide an inclusive and welcoming environment for LGBTIQ+ older people. The program offers coaching, training, and tailored support to aged care organisations to adopt inclusive policies and practices. It provides resources and tools to help aged care services meet the requirements of the Aged Care Act, Quality Standards, and Statement of Rights, improving the experiences of LGBTIQ+ older people as they age and enter the Australian aged care system.</w:t>
      </w:r>
      <w:r/>
    </w:p>
    <w:p>
      <w:pPr>
        <w:pStyle w:val="ListNumber"/>
        <w:spacing w:line="240" w:lineRule="auto"/>
        <w:ind w:left="720"/>
      </w:pPr>
      <w:r/>
      <w:hyperlink r:id="rId13">
        <w:r>
          <w:rPr>
            <w:color w:val="0000EE"/>
            <w:u w:val="single"/>
          </w:rPr>
          <w:t>https://www.lgbtiqhealth.org.au/agedcarejointstatement</w:t>
        </w:r>
      </w:hyperlink>
      <w:r>
        <w:t xml:space="preserve"> - This joint statement between LGBTIQ+ Health Australia and the aged care sector affirms the human rights and fundamental freedoms of all older people in Australia, including LGBTIQ+ individuals. It calls on aged care providers to build their capacity to provide safe and appropriate care to LGBTIQ+ older people, ensuring services are inclusive and respectful. The statement highlights the diversity of LGBTIQ+ older people’s backgrounds and life experiences and emphasizes the need for a culture of affirming diversity and respect in aged care services.</w:t>
      </w:r>
      <w:r/>
    </w:p>
    <w:p>
      <w:pPr>
        <w:pStyle w:val="ListNumber"/>
        <w:spacing w:line="240" w:lineRule="auto"/>
        <w:ind w:left="720"/>
      </w:pPr>
      <w:r/>
      <w:hyperlink r:id="rId14">
        <w:r>
          <w:rPr>
            <w:color w:val="0000EE"/>
            <w:u w:val="single"/>
          </w:rPr>
          <w:t>https://www.myagedcare.gov.au/support-for-lgbti-people</w:t>
        </w:r>
      </w:hyperlink>
      <w:r>
        <w:t xml:space="preserve"> - This page from My Aged Care outlines the support available for people who are lesbian, gay, bisexual, transgender, intersex, or other sexual orientations or are gender diverse or bodily diverse. It emphasizes that aged care should be welcoming, inclusive, and respectful for everyone, including older people of diverse sexual orientation and gender identity. The page details the rights of individuals to access culturally safe, trauma-aware, and healing-informed assessments and aged care services, and provides information on how to find aged care services that cater to these needs.</w:t>
      </w:r>
      <w:r/>
    </w:p>
    <w:p>
      <w:pPr>
        <w:pStyle w:val="ListNumber"/>
        <w:spacing w:line="240" w:lineRule="auto"/>
        <w:ind w:left="720"/>
      </w:pPr>
      <w:r/>
      <w:hyperlink r:id="rId12">
        <w:r>
          <w:rPr>
            <w:color w:val="0000EE"/>
            <w:u w:val="single"/>
          </w:rPr>
          <w:t>https://www.lgbtiqhealth.org.au/lgbtiagedcarejointstatement</w:t>
        </w:r>
      </w:hyperlink>
      <w:r>
        <w:t xml:space="preserve"> - This joint statement between LGBTIQ+ Health Australia and Australia’s aged care sector affirms the human rights and fundamental freedoms of all older people in Australia, including LGBTIQ+ individuals. It calls for inclusive and respectful aged care services and practices that embrace the diversity of LGBTIQ+ older people’s backgrounds and life experiences. The statement highlights the importance of a culture of affirming diversity and respect in protecting human rights within the provision of aged care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geingagenda.com.au/workforce/improving-psychological-safety-for-lgbtiq-workers/" TargetMode="External"/><Relationship Id="rId10" Type="http://schemas.openxmlformats.org/officeDocument/2006/relationships/hyperlink" Target="https://ariia.org.au/knowledge-implementation-hub/resources/improving-psychological-safety-lgbtiq-employees" TargetMode="External"/><Relationship Id="rId11" Type="http://schemas.openxmlformats.org/officeDocument/2006/relationships/hyperlink" Target="https://www.lgbtiqhealth.org.au/findings_of_the_royal_commission_into_aged_care" TargetMode="External"/><Relationship Id="rId12" Type="http://schemas.openxmlformats.org/officeDocument/2006/relationships/hyperlink" Target="https://www.lgbtiqhealth.org.au/lgbtiagedcarejointstatement" TargetMode="External"/><Relationship Id="rId13" Type="http://schemas.openxmlformats.org/officeDocument/2006/relationships/hyperlink" Target="https://www.lgbtiqhealth.org.au/agedcarejointstatement" TargetMode="External"/><Relationship Id="rId14" Type="http://schemas.openxmlformats.org/officeDocument/2006/relationships/hyperlink" Target="https://www.myagedcare.gov.au/support-for-lgbti-people" TargetMode="External"/><Relationship Id="rId15" Type="http://schemas.openxmlformats.org/officeDocument/2006/relationships/hyperlink" Target="https://silverrainbow.lgbtiqhealth.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