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Washington Youth Gender Diagnoses Rise as Debate Intensifies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clinicians and policymakers are paying closer attention to transgender-related diagnoses among young people in Washington, where newly analysed insurance claims suggest rates rose sharply between 2017 and 2023. The figures offer fresh context for a heated debate over youth healthcare, parental involvement and how best to support children with gender-related distress.</w:t>
      </w:r>
      <w:r/>
    </w:p>
    <w:p>
      <w:pPr>
        <w:pStyle w:val="Heading2"/>
      </w:pPr>
      <w:r>
        <w:t>Essential Takeaways</w:t>
      </w:r>
      <w:r/>
      <w:r/>
    </w:p>
    <w:p>
      <w:pPr>
        <w:pStyle w:val="ListBullet"/>
        <w:spacing w:line="240" w:lineRule="auto"/>
        <w:ind w:left="720"/>
      </w:pPr>
      <w:r/>
      <w:r>
        <w:rPr>
          <w:b/>
        </w:rPr>
        <w:t>Claims data point upwards:</w:t>
      </w:r>
      <w:r>
        <w:t xml:space="preserve"> At least 15,437 Washington minors had a transgender-related diagnosis recorded between 2017 and 2023.</w:t>
      </w:r>
      <w:r/>
    </w:p>
    <w:p>
      <w:pPr>
        <w:pStyle w:val="ListBullet"/>
        <w:spacing w:line="240" w:lineRule="auto"/>
        <w:ind w:left="720"/>
      </w:pPr>
      <w:r/>
      <w:r>
        <w:rPr>
          <w:b/>
        </w:rPr>
        <w:t>Teen girls showed the highest rate:</w:t>
      </w:r>
      <w:r>
        <w:t xml:space="preserve"> In 2022, 1.73 per cent of girls aged 12 to 17 had such a diagnosis, compared with 0.8 per cent of boys.</w:t>
      </w:r>
      <w:r/>
    </w:p>
    <w:p>
      <w:pPr>
        <w:pStyle w:val="ListBullet"/>
        <w:spacing w:line="240" w:lineRule="auto"/>
        <w:ind w:left="720"/>
      </w:pPr>
      <w:r/>
      <w:r>
        <w:rPr>
          <w:b/>
        </w:rPr>
        <w:t>The picture is incomplete:</w:t>
      </w:r>
      <w:r>
        <w:t xml:space="preserve"> The dataset doesn't cover every insurer, and 2023 claims were only partially reported.</w:t>
      </w:r>
      <w:r/>
    </w:p>
    <w:p>
      <w:pPr>
        <w:pStyle w:val="ListBullet"/>
        <w:spacing w:line="240" w:lineRule="auto"/>
        <w:ind w:left="720"/>
      </w:pPr>
      <w:r/>
      <w:r>
        <w:rPr>
          <w:b/>
        </w:rPr>
        <w:t>Care remains contested:</w:t>
      </w:r>
      <w:r>
        <w:t xml:space="preserve"> Supporters of medical intervention and advocates for a more cautious approach disagree sharply over evidence, risks and consent.</w:t>
      </w:r>
      <w:r/>
    </w:p>
    <w:p>
      <w:pPr>
        <w:pStyle w:val="ListBullet"/>
        <w:spacing w:line="240" w:lineRule="auto"/>
        <w:ind w:left="720"/>
      </w:pPr>
      <w:r/>
      <w:r>
        <w:rPr>
          <w:b/>
        </w:rPr>
        <w:t>Local variation matters:</w:t>
      </w:r>
      <w:r>
        <w:t xml:space="preserve"> The highest reported concentration was in the 986 postcode area around Vancouver, rather than Seattle.</w:t>
      </w:r>
      <w:r/>
      <w:r/>
    </w:p>
    <w:p>
      <w:pPr>
        <w:pStyle w:val="Heading2"/>
      </w:pPr>
      <w:r>
        <w:t>Washington's numbers have become impossible to ignore</w:t>
      </w:r>
      <w:r/>
    </w:p>
    <w:p>
      <w:r/>
      <w:r>
        <w:t xml:space="preserve">The headline figure is striking: a minimum of 15,437 minors in Washington had a transgender-related diagnosis appear on an insurance claim during the seven-year period studied. The analysis cautions that the real total is likely higher because not every insurer is included and the 2023 data are incomplete. </w:t>
      </w:r>
      <w:hyperlink r:id="rId9">
        <w:r>
          <w:rPr>
            <w:color w:val="0000EE"/>
            <w:u w:val="single"/>
          </w:rPr>
          <w:t>[2]</w:t>
        </w:r>
      </w:hyperlink>
      <w:r/>
    </w:p>
    <w:p>
      <w:r/>
      <w:r>
        <w:t xml:space="preserve">In 2022, the recorded rate among girls aged 12 to 17 was 1.73 per cent, while the figure for boys in the same age group was 0.8 per cent. Among children aged eight to 12, the rates were lower but still notable, at 0.71 per cent for girls and 0.16 per cent for boys. </w:t>
      </w:r>
      <w:hyperlink r:id="rId9">
        <w:r>
          <w:rPr>
            <w:color w:val="0000EE"/>
            <w:u w:val="single"/>
          </w:rPr>
          <w:t>[6]</w:t>
        </w:r>
      </w:hyperlink>
      <w:r/>
    </w:p>
    <w:p>
      <w:r/>
      <w:r>
        <w:t>Those figures should be handled carefully. An insurance claim isn't the same thing as a confirmed, independently assessed prevalence estimate, and diagnosis codes can reflect different clinical circumstances. Still, the direction of travel is clear enough to prompt difficult questions about referral patterns, clinical practice and wider social change.</w:t>
      </w:r>
      <w:r/>
    </w:p>
    <w:p>
      <w:pPr>
        <w:pStyle w:val="Heading2"/>
      </w:pPr>
      <w:r>
        <w:t>A sharp rise since the mid-2010s</w:t>
      </w:r>
      <w:r/>
    </w:p>
    <w:p>
      <w:r/>
      <w:r>
        <w:t xml:space="preserve">The claims analysis found that recorded diagnoses increased substantially between 2017 and 2023, particularly among girls. Rates among teenage girls more than doubled, while the rate among teenage boys nearly tripled. For younger children, the increase was also considerable. </w:t>
      </w:r>
      <w:hyperlink r:id="rId9">
        <w:r>
          <w:rPr>
            <w:color w:val="0000EE"/>
            <w:u w:val="single"/>
          </w:rPr>
          <w:t>[7]</w:t>
        </w:r>
      </w:hyperlink>
      <w:r/>
    </w:p>
    <w:p>
      <w:r/>
      <w:r>
        <w:t>That rise mirrors a broader shift seen across the United States and in other countries. Gender clinics, schools and mental-health services have all reported greater demand, while families are navigating a subject that can feel intensely personal and politically charged.</w:t>
      </w:r>
      <w:r/>
    </w:p>
    <w:p>
      <w:r/>
      <w:r>
        <w:t xml:space="preserve">Washington's wider mental-health picture provides useful context. State agencies track growing demand for behavioural-health support among children and young people, with service use shaped by access, referral routes and changing recognition of distress. The Washington State Department of Children, Youth, and Families publishes performance information on youth mental-health services, although those datasets aren't interchangeable with gender-related insurance claims. </w:t>
      </w:r>
      <w:hyperlink r:id="rId10">
        <w:r>
          <w:rPr>
            <w:color w:val="0000EE"/>
            <w:u w:val="single"/>
          </w:rPr>
          <w:t>[3]</w:t>
        </w:r>
      </w:hyperlink>
      <w:r/>
    </w:p>
    <w:p>
      <w:r/>
      <w:r>
        <w:t>In other words, the increase may reflect several forces at once: greater awareness, changing diagnostic habits, easier access to specialist services and more young people seeking help. Untangling those factors will take better, more transparent data.</w:t>
      </w:r>
      <w:r/>
    </w:p>
    <w:p>
      <w:pPr>
        <w:pStyle w:val="Heading2"/>
      </w:pPr>
      <w:r>
        <w:t>Why treatment and evidence sit at the centre of the argument</w:t>
      </w:r>
      <w:r/>
    </w:p>
    <w:p>
      <w:r/>
      <w:r>
        <w:t>A diagnosis can open the door to social support, psychotherapy, puberty blockers, hormones or surgery, depending on a young person's age, circumstances and clinical pathway. That range of possible interventions is why the debate has moved well beyond terminology. It concerns consent, safeguarding, fertility, physical development and long-term wellbeing.</w:t>
      </w:r>
      <w:r/>
    </w:p>
    <w:p>
      <w:r/>
      <w:r>
        <w:t>Medical organisations and clinicians don't all agree on the strength of the evidence. Some argue that carefully assessed treatment can relieve distress and improve quality of life. Others say the evidence for medical interventions in minors remains limited and that psychological support and time should play a larger role. European health systems, including those in the UK, Sweden and Finland, have adopted more cautious approaches in recent years.</w:t>
      </w:r>
      <w:r/>
    </w:p>
    <w:p>
      <w:r/>
      <w:r>
        <w:t xml:space="preserve">The Washington Office of the Insurance Commissioner provides information on behavioural-health coverage, costs and use, offering a broader view of the pressures facing the state's health system. Such data help explain the practical backdrop: families aren't making decisions in a vacuum, but within a system where access, coverage rules and specialist availability can shape the choices on offer. </w:t>
      </w:r>
      <w:hyperlink r:id="rId11">
        <w:r>
          <w:rPr>
            <w:color w:val="0000EE"/>
            <w:u w:val="single"/>
          </w:rPr>
          <w:t>[4]</w:t>
        </w:r>
      </w:hyperlink>
      <w:r/>
    </w:p>
    <w:p>
      <w:r/>
      <w:r>
        <w:t>For parents, the most useful question isn't simply whether a service is labelled affirming or cautious. It's whether the assessment is thorough, the alternatives are explained clearly, and the child receives support for any co-existing anxiety, depression, trauma or neurodevelopmental needs.</w:t>
      </w:r>
      <w:r/>
    </w:p>
    <w:p>
      <w:pPr>
        <w:pStyle w:val="Heading2"/>
      </w:pPr>
      <w:r>
        <w:t>Vancouver area records the highest concentration</w:t>
      </w:r>
      <w:r/>
    </w:p>
    <w:p>
      <w:r/>
      <w:r>
        <w:t xml:space="preserve">One of the analysis's more unexpected findings concerns geography. The highest recorded rate among teenage girls was in the 986 postcode area, which includes Vancouver and nearby communities, rather than Seattle. More than 2 per cent of teen girls in that area had a transgender-related diagnosis in the claims data, compared with roughly 1.5 per cent in Seattle. Olympia followed closely. </w:t>
      </w:r>
      <w:hyperlink r:id="rId9">
        <w:r>
          <w:rPr>
            <w:color w:val="0000EE"/>
            <w:u w:val="single"/>
          </w:rPr>
          <w:t>[2]</w:t>
        </w:r>
      </w:hyperlink>
      <w:r/>
    </w:p>
    <w:p>
      <w:r/>
      <w:r>
        <w:t>Geographic comparisons are tempting, but they need a little caution. Insurance coverage differs between areas, patients may travel across state lines for appointments, and one provider or health system can affect how claims are coded. Vancouver's position near Portland also complicates the picture, since families may use services on either side of the Columbia River.</w:t>
      </w:r>
      <w:r/>
    </w:p>
    <w:p>
      <w:r/>
      <w:r>
        <w:t>That doesn't make the local pattern irrelevant. It suggests that access to clinics, school referrals, transport, family networks and regional healthcare markets may all influence where diagnoses appear. For anyone comparing transgender-related diagnoses by county or postcode, the practical lesson is simple: local numbers describe a healthcare pathway as much as they describe a population.</w:t>
      </w:r>
      <w:r/>
    </w:p>
    <w:p>
      <w:pPr>
        <w:pStyle w:val="Heading2"/>
      </w:pPr>
      <w:r>
        <w:t>Schools, parents and policymakers face the next test</w:t>
      </w:r>
      <w:r/>
    </w:p>
    <w:p>
      <w:r/>
      <w:r>
        <w:t>The debate is now moving into classrooms, sports and family life. Questions about whether schools should inform parents about a child's gender identity have become especially contentious, with supporters citing safeguarding and parental responsibility, while others stress privacy and the risk of harm at home.</w:t>
      </w:r>
      <w:r/>
    </w:p>
    <w:p>
      <w:r/>
      <w:r>
        <w:t xml:space="preserve">Washington's child and family agencies already monitor youth mental-health performance and service demand, reflecting a wider effort to understand whether young people can access help quickly and consistently. Yet the data don't settle the central policy argument. They show demand and recorded diagnoses, but not by themselves what caused the increase or which interventions work best for every child. </w:t>
      </w:r>
      <w:hyperlink r:id="rId12">
        <w:r>
          <w:rPr>
            <w:color w:val="0000EE"/>
            <w:u w:val="single"/>
          </w:rPr>
          <w:t>[5]</w:t>
        </w:r>
      </w:hyperlink>
      <w:r/>
    </w:p>
    <w:p>
      <w:r/>
      <w:r>
        <w:t>That uncertainty is uncomfortable, but it matters. When numbers rise quickly, the answer shouldn't be panic or dismissal. Families need independent information, clinicians need room to discuss uncertainty, and policymakers need datasets that are complete enough to distinguish genuine changes in need from changes in coding or access.</w:t>
      </w:r>
      <w:r/>
    </w:p>
    <w:p>
      <w:r/>
      <w:r>
        <w:t>The next phase of Washington's debate will likely be less about whether the numbers are rising and more about what responsible care should look like. For parents, that means asking who made the diagnosis, what other explanations were considered and how follow-up will be handled over time.</w:t>
      </w:r>
      <w:r/>
    </w:p>
    <w:p>
      <w:r/>
      <w:r>
        <w:t>The figures are a prompt for better questions, not a shortcut to easy answers.</w:t>
      </w:r>
      <w:r/>
    </w:p>
    <w:p>
      <w:r/>
      <w:r>
        <w:t>Choose support that keeps the child, evidence and long-term wellbeing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[6]</w:t>
        </w:r>
      </w:hyperlink>
      <w:r>
        <w:t xml:space="preserve">- Paragraph 2: </w:t>
      </w:r>
      <w:hyperlink r:id="rId9">
        <w:r>
          <w:rPr>
            <w:color w:val="0000EE"/>
            <w:u w:val="single"/>
          </w:rPr>
          <w:t>[2]</w:t>
        </w:r>
      </w:hyperlink>
      <w:r>
        <w:t xml:space="preserve">, </w:t>
      </w:r>
      <w:hyperlink r:id="rId9">
        <w:r>
          <w:rPr>
            <w:color w:val="0000EE"/>
            <w:u w:val="single"/>
          </w:rPr>
          <w:t>[6]</w:t>
        </w:r>
      </w:hyperlink>
      <w:r>
        <w:t xml:space="preserve">- Paragraph 3: </w:t>
      </w:r>
      <w:hyperlink r:id="rId9">
        <w:r>
          <w:rPr>
            <w:color w:val="0000EE"/>
            <w:u w:val="single"/>
          </w:rPr>
          <w:t>[7]</w:t>
        </w:r>
      </w:hyperlink>
      <w:r>
        <w:t xml:space="preserve">- Paragraph 4: </w:t>
      </w:r>
      <w:hyperlink r:id="rId10">
        <w:r>
          <w:rPr>
            <w:color w:val="0000EE"/>
            <w:u w:val="single"/>
          </w:rPr>
          <w:t>[3]</w:t>
        </w:r>
      </w:hyperlink>
      <w:r>
        <w:t xml:space="preserve">- Paragraph 5: </w:t>
      </w:r>
      <w:hyperlink r:id="rId9">
        <w:r>
          <w:rPr>
            <w:color w:val="0000EE"/>
            <w:u w:val="single"/>
          </w:rPr>
          <w:t>[2]</w:t>
        </w:r>
      </w:hyperlink>
      <w:r>
        <w:t xml:space="preserve">, </w:t>
      </w:r>
      <w:hyperlink r:id="rId9">
        <w:r>
          <w:rPr>
            <w:color w:val="0000EE"/>
            <w:u w:val="single"/>
          </w:rPr>
          <w:t>[7]</w:t>
        </w:r>
      </w:hyperlink>
      <w:r>
        <w:t xml:space="preserve">- Paragraph 6: </w:t>
      </w:r>
      <w:hyperlink r:id="rId11">
        <w:r>
          <w:rPr>
            <w:color w:val="0000EE"/>
            <w:u w:val="single"/>
          </w:rPr>
          <w:t>[4]</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9">
        <w:r>
          <w:rPr>
            <w:color w:val="0000EE"/>
            <w:u w:val="single"/>
          </w:rPr>
          <w:t>[7]</w:t>
        </w:r>
      </w:hyperlink>
      <w:r>
        <w:t xml:space="preserve">- Paragraph 9: </w:t>
      </w:r>
      <w:hyperlink r:id="rId12">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https://www.city-journal.org/article/transgender-youth-children-teens-washington</w:t>
        </w:r>
      </w:hyperlink>
      <w:r>
        <w:t xml:space="preserve"> - Please view link - unable to able to access data</w:t>
      </w:r>
      <w:r/>
    </w:p>
    <w:p>
      <w:pPr>
        <w:pStyle w:val="ListNumber"/>
        <w:spacing w:line="240" w:lineRule="auto"/>
        <w:ind w:left="720"/>
      </w:pPr>
      <w:r/>
      <w:hyperlink r:id="rId9">
        <w:r>
          <w:rPr>
            <w:color w:val="0000EE"/>
            <w:u w:val="single"/>
          </w:rPr>
          <w:t>https://www.city-journal.org/article/transgender-youth-children-teens-washington</w:t>
        </w:r>
      </w:hyperlink>
      <w:r>
        <w:t xml:space="preserve"> - An analysis by the Manhattan Institute reveals a significant increase in transgender-related diagnoses among minors in Washington state between 2017 and 2023. The study found that at least 15,437 minors had such diagnoses on their health insurance claims during this period. In 2022, 1.73% of teen girls (ages 12–17) and 0.8% of teen boys had a diagnosis, with even higher rates among younger children. These figures are substantially higher than the rates of gender dysphoria in adults as reported in the DSM-5, highlighting a notable rise in transgender-related diagnoses among youth in Washington state.</w:t>
      </w:r>
      <w:r/>
    </w:p>
    <w:p>
      <w:pPr>
        <w:pStyle w:val="ListNumber"/>
        <w:spacing w:line="240" w:lineRule="auto"/>
        <w:ind w:left="720"/>
      </w:pPr>
      <w:r/>
      <w:hyperlink r:id="rId10">
        <w:r>
          <w:rPr>
            <w:color w:val="0000EE"/>
            <w:u w:val="single"/>
          </w:rPr>
          <w:t>https://www.dcyf.wa.gov/practice/oiaa/agency-performance/mental-health</w:t>
        </w:r>
      </w:hyperlink>
      <w:r>
        <w:t xml:space="preserve"> - The Washington State Department of Children, Youth, and Families reports a significant increase in youth suicide and attempted suicide rates over the past decade. Between 2013 and 2023, the rate climbed from 67 per 100,000 adolescents to a peak of 414 per 100,000 in 2021. Although there was a decrease to 321 per 100,000 in 2023, the rate remains nearly 500% higher than it was ten years prior, indicating a persistent and concerning trend in adolescent mental health.</w:t>
      </w:r>
      <w:r/>
    </w:p>
    <w:p>
      <w:pPr>
        <w:pStyle w:val="ListNumber"/>
        <w:spacing w:line="240" w:lineRule="auto"/>
        <w:ind w:left="720"/>
      </w:pPr>
      <w:r/>
      <w:hyperlink r:id="rId11">
        <w:r>
          <w:rPr>
            <w:color w:val="0000EE"/>
            <w:u w:val="single"/>
          </w:rPr>
          <w:t>https://www.insurance.wa.gov/laws-rules/legislation-and-rulemaking/legislative-committees-and-work-groups/behavioral-health-services-federal-grant/mental-health-service-cost-and-use-trends</w:t>
        </w:r>
      </w:hyperlink>
      <w:r>
        <w:t xml:space="preserve"> - The Washington State Office of the Insurance Commissioner has developed a dashboard to analyse mental health service costs and usage trends. Data from 2017 to 2022 indicates that the percentage of insurance claims involving a mental health diagnosis increased from 11.83% to 17.43%. Additionally, the cost of mental health services has risen by 69% since 2017, primarily due to increased service usage, highlighting a growing demand for mental health care in the state.</w:t>
      </w:r>
      <w:r/>
    </w:p>
    <w:p>
      <w:pPr>
        <w:pStyle w:val="ListNumber"/>
        <w:spacing w:line="240" w:lineRule="auto"/>
        <w:ind w:left="720"/>
      </w:pPr>
      <w:r/>
      <w:hyperlink r:id="rId12">
        <w:r>
          <w:rPr>
            <w:color w:val="0000EE"/>
            <w:u w:val="single"/>
          </w:rPr>
          <w:t>https://www.dcyf.wa.gov/practice/oiaa/agency-performance/mental-behavioral-health</w:t>
        </w:r>
      </w:hyperlink>
      <w:r>
        <w:t xml:space="preserve"> - The Washington State Department of Children, Youth, and Families highlights a concerning trend in youth mental health, with suicide and attempted suicide rates nearly 500% higher in 2023 compared to a decade earlier. This underscores the urgent need for enhanced mental health support and interventions for adolescents in the state.</w:t>
      </w:r>
      <w:r/>
    </w:p>
    <w:p>
      <w:pPr>
        <w:pStyle w:val="ListNumber"/>
        <w:spacing w:line="240" w:lineRule="auto"/>
        <w:ind w:left="720"/>
      </w:pPr>
      <w:r/>
      <w:hyperlink r:id="rId9">
        <w:r>
          <w:rPr>
            <w:color w:val="0000EE"/>
            <w:u w:val="single"/>
          </w:rPr>
          <w:t>https://www.city-journal.org/article/transgender-youth-children-teens-washington</w:t>
        </w:r>
      </w:hyperlink>
      <w:r>
        <w:t xml:space="preserve"> - The Manhattan Institute's analysis also notes that in 2022, the percentage of Washington teens with a transgender-related diagnosis (1.29%) was about 19 times the prevalence of pediatric Type 2 diabetes (0.067%). This comparison underscores the significant rise in transgender-related diagnoses among youth in Washington state.</w:t>
      </w:r>
      <w:r/>
    </w:p>
    <w:p>
      <w:pPr>
        <w:pStyle w:val="ListNumber"/>
        <w:spacing w:line="240" w:lineRule="auto"/>
        <w:ind w:left="720"/>
      </w:pPr>
      <w:r/>
      <w:hyperlink r:id="rId9">
        <w:r>
          <w:rPr>
            <w:color w:val="0000EE"/>
            <w:u w:val="single"/>
          </w:rPr>
          <w:t>https://www.city-journal.org/article/transgender-youth-children-teens-washington</w:t>
        </w:r>
      </w:hyperlink>
      <w:r>
        <w:t xml:space="preserve"> - The article discusses the implications of the rising prevalence of transgender-related diagnoses among youth in Washington state, emphasizing the need for comprehensive data to inform medical interventions and policy decisions. It also highlights the importance of understanding these trends to ensure appropriate care and support for young people experiencing gender-related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ty-journal.org/article/transgender-youth-children-teens-washington" TargetMode="External"/><Relationship Id="rId10" Type="http://schemas.openxmlformats.org/officeDocument/2006/relationships/hyperlink" Target="https://www.dcyf.wa.gov/practice/oiaa/agency-performance/mental-health" TargetMode="External"/><Relationship Id="rId11" Type="http://schemas.openxmlformats.org/officeDocument/2006/relationships/hyperlink" Target="https://www.insurance.wa.gov/laws-rules/legislation-and-rulemaking/legislative-committees-and-work-groups/behavioral-health-services-federal-grant/mental-health-service-cost-and-use-trends" TargetMode="External"/><Relationship Id="rId12" Type="http://schemas.openxmlformats.org/officeDocument/2006/relationships/hyperlink" Target="https://www.dcyf.wa.gov/practice/oiaa/agency-performance/mental-behavioral-heal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