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Supreme Court LGBTQ Rights Cases to Watch in 2026-2027</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Advocates are watching two major Supreme Court cases this term that could shape LGBTQ rights, religious freedom and protections for young people across the US. The disputes involve publicly funded preschool, parental standing and gender-affirming healthcare, making the 2026-2027 docket one to follow closely.</w:t>
      </w:r>
      <w:r/>
    </w:p>
    <w:p>
      <w:pPr>
        <w:pStyle w:val="Heading2"/>
      </w:pPr>
      <w:r>
        <w:t>Essential Takeaways</w:t>
      </w:r>
      <w:r/>
      <w:r/>
    </w:p>
    <w:p>
      <w:pPr>
        <w:pStyle w:val="ListBullet"/>
        <w:spacing w:line="240" w:lineRule="auto"/>
        <w:ind w:left="720"/>
      </w:pPr>
      <w:r/>
      <w:r>
        <w:rPr>
          <w:b/>
        </w:rPr>
        <w:t>Public funding at stake:</w:t>
      </w:r>
      <w:r>
        <w:t xml:space="preserve"> The St. Mary case asks whether a faith-based preschool can receive state money while declining to follow LGBTQ-inclusive rules.</w:t>
      </w:r>
      <w:r/>
    </w:p>
    <w:p>
      <w:pPr>
        <w:pStyle w:val="ListBullet"/>
        <w:spacing w:line="240" w:lineRule="auto"/>
        <w:ind w:left="720"/>
      </w:pPr>
      <w:r/>
      <w:r>
        <w:rPr>
          <w:b/>
        </w:rPr>
        <w:t>A technical case with major consequences:</w:t>
      </w:r>
      <w:r>
        <w:t xml:space="preserve"> International Partners for Ethical Care concerns whether parents can challenge Washington policies protecting young people’s confidential access to services.</w:t>
      </w:r>
      <w:r/>
    </w:p>
    <w:p>
      <w:pPr>
        <w:pStyle w:val="ListBullet"/>
        <w:spacing w:line="240" w:lineRule="auto"/>
        <w:ind w:left="720"/>
      </w:pPr>
      <w:r/>
      <w:r>
        <w:rPr>
          <w:b/>
        </w:rPr>
        <w:t>Emergency rulings matter too:</w:t>
      </w:r>
      <w:r>
        <w:t xml:space="preserve"> The Court’s shadow docket can decide urgent disputes without full oral arguments or detailed explanations.</w:t>
      </w:r>
      <w:r/>
    </w:p>
    <w:p>
      <w:pPr>
        <w:pStyle w:val="ListBullet"/>
        <w:spacing w:line="240" w:lineRule="auto"/>
        <w:ind w:left="720"/>
      </w:pPr>
      <w:r/>
      <w:r>
        <w:rPr>
          <w:b/>
        </w:rPr>
        <w:t>Key dates ahead:</w:t>
      </w:r>
      <w:r>
        <w:t xml:space="preserve"> Oral arguments are scheduled for 3 November and 7 December 2026.</w:t>
      </w:r>
      <w:r/>
    </w:p>
    <w:p>
      <w:pPr>
        <w:pStyle w:val="ListBullet"/>
        <w:spacing w:line="240" w:lineRule="auto"/>
        <w:ind w:left="720"/>
      </w:pPr>
      <w:r/>
      <w:r>
        <w:rPr>
          <w:b/>
        </w:rPr>
        <w:t>Healthcare protections remain fragile:</w:t>
      </w:r>
      <w:r>
        <w:t xml:space="preserve"> A temporary ruling preserved access to gender-affirming care for transgender people in federal prisons, but it may not be permanent.</w:t>
      </w:r>
      <w:r/>
      <w:r/>
    </w:p>
    <w:p>
      <w:pPr>
        <w:pStyle w:val="Heading2"/>
      </w:pPr>
      <w:r>
        <w:t>Two cases put LGBTQ protections in the spotlight</w:t>
      </w:r>
      <w:r/>
    </w:p>
    <w:p>
      <w:r/>
      <w:r>
        <w:t>The Supreme Court’s new term has barely begun, yet its potential impact is already enormous. Among the most closely watched disputes are St. Mary Catholic Parish v. Roy and International Partners for Ethical Care, Inc. v. Ferguson, both of which sit at the intersection of LGBTQ rights and constitutional law.</w:t>
      </w:r>
      <w:r/>
    </w:p>
    <w:p>
      <w:r/>
      <w:r>
        <w:t xml:space="preserve">The first case focuses on Colorado’s publicly funded preschool programme. The second is about whether a group of parents has the legal right to bring a challenge against Washington state policies. Neither question is narrow in practical terms. A ruling in either direction could influence schools, shelters, healthcare providers and families well beyond the states directly involved. According to Oyez, the Ferguson case centres on Article III standing, the constitutional requirement that a claimant show a legally recognisable injury before a federal court can hear the dispute. </w:t>
      </w:r>
      <w:hyperlink r:id="rId9">
        <w:r>
          <w:rPr>
            <w:color w:val="0000EE"/>
            <w:u w:val="single"/>
          </w:rPr>
          <w:t>[2]</w:t>
        </w:r>
      </w:hyperlink>
      <w:r/>
    </w:p>
    <w:p>
      <w:r/>
      <w:r>
        <w:t>That legal vocabulary may sound dry, but the human stakes aren't. Behind the courtroom language are questions about whether LGBTQ+ children can access supportive services and whether public money can fund organisations that don't offer equal treatment.</w:t>
      </w:r>
      <w:r/>
    </w:p>
    <w:p>
      <w:pPr>
        <w:pStyle w:val="Heading2"/>
      </w:pPr>
      <w:r>
        <w:t>Colorado preschool case tests the limits of religious exemptions</w:t>
      </w:r>
      <w:r/>
    </w:p>
    <w:p>
      <w:r/>
      <w:r>
        <w:t>St. Mary Catholic Parish v. Roy concerns Colorado's Universal Preschool programme and its requirement that participating providers follow equal-opportunity rules. Those rules include protections for LGBTQ+ children and families, while the Catholic parishes involved argue that complying with them would interfere with their religious beliefs.</w:t>
      </w:r>
      <w:r/>
    </w:p>
    <w:p>
      <w:r/>
      <w:r>
        <w:t xml:space="preserve">The Supreme Court is being asked to decide how far the First Amendment's protection for religious exercise extends when a provider seeks public funding. The Human Rights Campaign says the case could affect critical protections for LGBTQ families in Colorado, particularly if providers can access taxpayer support while declining to follow nondiscrimination requirements. </w:t>
      </w:r>
      <w:hyperlink r:id="rId10">
        <w:r>
          <w:rPr>
            <w:color w:val="0000EE"/>
            <w:u w:val="single"/>
          </w:rPr>
          <w:t>[4]</w:t>
        </w:r>
      </w:hyperlink>
      <w:r/>
    </w:p>
    <w:p>
      <w:r/>
      <w:r>
        <w:t xml:space="preserve">That distinction is central. The question isn't simply whether a religious organisation can hold a particular belief. It's whether the government must finance a programme delivered on terms that allow a participating provider to exclude some families. The Freedom From Religion Foundation has also filed material in the case, reflecting the broader concern that religious exemptions could weaken neutral conditions attached to public benefits. </w:t>
      </w:r>
      <w:hyperlink r:id="rId11">
        <w:r>
          <w:rPr>
            <w:color w:val="0000EE"/>
            <w:u w:val="single"/>
          </w:rPr>
          <w:t>[5]</w:t>
        </w:r>
      </w:hyperlink>
      <w:r/>
    </w:p>
    <w:p>
      <w:pPr>
        <w:pStyle w:val="Heading2"/>
      </w:pPr>
      <w:r>
        <w:t>Why this matters beyond one preschool programme</w:t>
      </w:r>
      <w:r/>
    </w:p>
    <w:p>
      <w:r/>
      <w:r>
        <w:t>A ruling for Colorado could reinforce the idea that public funding comes with common rules. In plain English, organisations may be free to operate privately according to their faith, but participation in a taxpayer-supported scheme can require them to serve families on equal terms.</w:t>
      </w:r>
      <w:r/>
    </w:p>
    <w:p>
      <w:r/>
      <w:r>
        <w:t>A ruling for the parishes could create a wider route for faith-based groups to seek public funds while challenging LGBTQ-inclusive conditions. That wouldn't automatically settle every future dispute, but it could encourage more litigation across education, healthcare and social services. The possibility is why civil rights groups are paying such close attention to the November arguments.</w:t>
      </w:r>
      <w:r/>
    </w:p>
    <w:p>
      <w:r/>
      <w:r>
        <w:t>For parents, the practical issue is choice and access. A preschool may look like one of several local options on paper, but if a publicly supported provider can refuse or stigmatise LGBTQ families, the menu becomes smaller and more hostile. That's a policy debate with a very real front-door impact.</w:t>
      </w:r>
      <w:r/>
    </w:p>
    <w:p>
      <w:pPr>
        <w:pStyle w:val="Heading2"/>
      </w:pPr>
      <w:r>
        <w:t>The Washington case is about standing, not directly about treatment</w:t>
      </w:r>
      <w:r/>
    </w:p>
    <w:p>
      <w:r/>
      <w:r>
        <w:t>International Partners for Ethical Care v. Ferguson involves Washington laws that allow certain youth shelters and homes to protect a minor's privacy for a limited period when the young person has run away and is seeking services. The dispute is not a direct ruling on whether minors should receive gender-affirming care. Instead, the Court is examining whether the parents challenging the rules have suffered the kind of injury that gives them standing to sue.</w:t>
      </w:r>
      <w:r/>
    </w:p>
    <w:p>
      <w:r/>
      <w:r>
        <w:t xml:space="preserve">Oyez describes the case as a challenge to the Ninth Circuit's conclusion that the plaintiffs had not shown a sufficiently concrete injury. </w:t>
      </w:r>
      <w:hyperlink r:id="rId9">
        <w:r>
          <w:rPr>
            <w:color w:val="0000EE"/>
            <w:u w:val="single"/>
          </w:rPr>
          <w:t>[2]</w:t>
        </w:r>
      </w:hyperlink>
      <w:r>
        <w:t xml:space="preserve"> That matters because standing acts as a gatekeeper: without it, a federal court generally can't reach the substance of the argument.</w:t>
      </w:r>
      <w:r/>
    </w:p>
    <w:p>
      <w:r/>
      <w:r>
        <w:t>Still, procedure can have powerful consequences. If the Supreme Court grants standing based on a possible future scenario, similar plaintiffs may find it easier to challenge confidentiality policies in other states. Advocates fear that could place shelters, schools and young people under pressure to disclose sensitive information before it's safe to do so.</w:t>
      </w:r>
      <w:r/>
    </w:p>
    <w:p>
      <w:pPr>
        <w:pStyle w:val="Heading2"/>
      </w:pPr>
      <w:r>
        <w:t>The shadow docket keeps urgent disputes moving quickly</w:t>
      </w:r>
      <w:r/>
    </w:p>
    <w:p>
      <w:r/>
      <w:r>
        <w:t>The Court's full merits docket receives the headlines, but emergency applications can be just as consequential. These proceedings, often called the shadow docket, usually happen without oral arguments and may come with limited explanation. That speed can be useful in a genuine emergency, but it can also make major policy shifts harder for the public to understand.</w:t>
      </w:r>
      <w:r/>
    </w:p>
    <w:p>
      <w:r/>
      <w:r>
        <w:t>One monitored case concerns a Washington teenager and her mother, who are asking the Court to intervene over transgender girls' participation in school sports. The dispute arrives after the Court's 2026 decision upholding state restrictions, and it could test whether the justices are prepared to expand those limits further.</w:t>
      </w:r>
      <w:r/>
    </w:p>
    <w:p>
      <w:r/>
      <w:r>
        <w:t xml:space="preserve">Another emergency case involves transgender people in federal prisons and a policy blocking access to gender-affirming care. The Court recently kept a temporary protection in place while the litigation continues. The Associated Press reported that the order requires prison officials to maintain access for now, with Justices Clarence Thomas and Samuel Alito indicating they would have sided with the administration's request. </w:t>
      </w:r>
      <w:hyperlink r:id="rId12">
        <w:r>
          <w:rPr>
            <w:color w:val="0000EE"/>
            <w:u w:val="single"/>
          </w:rPr>
          <w:t>[6]</w:t>
        </w:r>
      </w:hyperlink>
      <w:r/>
    </w:p>
    <w:p>
      <w:r/>
      <w:r>
        <w:t>That is an important, if provisional, safeguard. But temporary orders can feel like standing on a bridge while repairs are still underway. The protection could expire unless a lower court extends it, leaving incarcerated transgender people facing renewed uncertainty over essential healthcare.</w:t>
      </w:r>
      <w:r/>
    </w:p>
    <w:p>
      <w:pPr>
        <w:pStyle w:val="Heading2"/>
      </w:pPr>
      <w:r>
        <w:t>What to watch as the term develops</w:t>
      </w:r>
      <w:r/>
    </w:p>
    <w:p>
      <w:r/>
      <w:r>
        <w:t>The first key date is 3 November 2026, when the Court is scheduled to hear arguments in St. Mary Catholic Parish v. Roy. Ferguson follows on 7 December. Court filings, questions from the justices and the eventual opinions should reveal whether the cases remain tightly limited or become broader statements about religious exemptions, parental authority and LGBTQ protections.</w:t>
      </w:r>
      <w:r/>
    </w:p>
    <w:p>
      <w:r/>
      <w:r>
        <w:t>Readers should also watch the emergency docket, where developments can arrive with little warning. A short order may not carry the same explanatory detail as a signed opinion, but it can still affect real people immediately. That makes reputable court reporting and legal analysis especially valuable as the term unfolds.</w:t>
      </w:r>
      <w:r/>
    </w:p>
    <w:p>
      <w:r/>
      <w:r>
        <w:t>For LGBTQ families, the legal language may be distant, but the consequences are close to home: a preschool place, a shelter's privacy policy or access to medical care. The Supreme Court's decisions won't settle every debate, but they could redraw the boundaries around all three.</w:t>
      </w:r>
      <w:r/>
    </w:p>
    <w:p>
      <w:r/>
      <w:r>
        <w:t>It's a term where seemingly technical legal questions could shape everyday safety and access.</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4">
        <w:r>
          <w:rPr>
            <w:color w:val="0000EE"/>
            <w:u w:val="single"/>
          </w:rPr>
          <w:t>[3]</w:t>
        </w:r>
      </w:hyperlink>
      <w:r>
        <w:t xml:space="preserve">, </w:t>
      </w:r>
      <w:hyperlink r:id="rId11">
        <w:r>
          <w:rPr>
            <w:color w:val="0000EE"/>
            <w:u w:val="single"/>
          </w:rPr>
          <w:t>[5]</w:t>
        </w:r>
      </w:hyperlink>
      <w:r>
        <w:t xml:space="preserve">- Paragraph 3: </w:t>
      </w:r>
      <w:hyperlink r:id="rId10">
        <w:r>
          <w:rPr>
            <w:color w:val="0000EE"/>
            <w:u w:val="single"/>
          </w:rPr>
          <w:t>[4]</w:t>
        </w:r>
      </w:hyperlink>
      <w:r>
        <w:t xml:space="preserve">, </w:t>
      </w:r>
      <w:hyperlink r:id="rId11">
        <w:r>
          <w:rPr>
            <w:color w:val="0000EE"/>
            <w:u w:val="single"/>
          </w:rPr>
          <w:t>[5]</w:t>
        </w:r>
      </w:hyperlink>
      <w:r>
        <w:t xml:space="preserve">- Paragraph 4: </w:t>
      </w:r>
      <w:hyperlink r:id="rId14">
        <w:r>
          <w:rPr>
            <w:color w:val="0000EE"/>
            <w:u w:val="single"/>
          </w:rPr>
          <w:t>[3]</w:t>
        </w:r>
      </w:hyperlink>
      <w:r>
        <w:t xml:space="preserve">, </w:t>
      </w:r>
      <w:hyperlink r:id="rId12">
        <w:r>
          <w:rPr>
            <w:color w:val="0000EE"/>
            <w:u w:val="single"/>
          </w:rPr>
          <w:t>[6]</w:t>
        </w:r>
      </w:hyperlink>
      <w:r>
        <w:t xml:space="preserve">- Paragraph 5: </w:t>
      </w:r>
      <w:hyperlink r:id="rId9">
        <w:r>
          <w:rPr>
            <w:color w:val="0000EE"/>
            <w:u w:val="single"/>
          </w:rPr>
          <w:t>[2]</w:t>
        </w:r>
      </w:hyperlink>
      <w:r>
        <w:t xml:space="preserve">, </w:t>
      </w:r>
      <w:hyperlink r:id="rId14">
        <w:r>
          <w:rPr>
            <w:color w:val="0000EE"/>
            <w:u w:val="single"/>
          </w:rPr>
          <w:t>[3]</w:t>
        </w:r>
      </w:hyperlink>
      <w:r>
        <w:t xml:space="preserve">- Paragraph 6: </w:t>
      </w:r>
      <w:hyperlink r:id="rId10">
        <w:r>
          <w:rPr>
            <w:color w:val="0000EE"/>
            <w:u w:val="single"/>
          </w:rPr>
          <w:t>[4]</w:t>
        </w:r>
      </w:hyperlink>
      <w:r>
        <w:t xml:space="preserve">, </w:t>
      </w:r>
      <w:hyperlink r:id="rId11">
        <w:r>
          <w:rPr>
            <w:color w:val="0000EE"/>
            <w:u w:val="single"/>
          </w:rPr>
          <w:t>[5]</w:t>
        </w:r>
      </w:hyperlink>
      <w:r>
        <w:t xml:space="preserve">- Paragraph 7: </w:t>
      </w:r>
      <w:hyperlink r:id="rId9">
        <w:r>
          <w:rPr>
            <w:color w:val="0000EE"/>
            <w:u w:val="single"/>
          </w:rPr>
          <w:t>[2]</w:t>
        </w:r>
      </w:hyperlink>
      <w:r>
        <w:t xml:space="preserve">, </w:t>
      </w:r>
      <w:hyperlink r:id="rId14">
        <w:r>
          <w:rPr>
            <w:color w:val="0000EE"/>
            <w:u w:val="single"/>
          </w:rPr>
          <w:t>[3]</w:t>
        </w:r>
      </w:hyperlink>
      <w:r>
        <w:t xml:space="preserve">- Paragraph 8: </w:t>
      </w:r>
      <w:hyperlink r:id="rId9">
        <w:r>
          <w:rPr>
            <w:color w:val="0000EE"/>
            <w:u w:val="single"/>
          </w:rPr>
          <w:t>[2]</w:t>
        </w:r>
      </w:hyperlink>
      <w:r>
        <w:t xml:space="preserve">, </w:t>
      </w:r>
      <w:hyperlink r:id="rId12">
        <w:r>
          <w:rPr>
            <w:color w:val="0000EE"/>
            <w:u w:val="single"/>
          </w:rPr>
          <w:t>[6]</w:t>
        </w:r>
      </w:hyperlink>
      <w:r>
        <w:t xml:space="preserve">- Paragraph 9: </w:t>
      </w:r>
      <w:hyperlink r:id="rId12">
        <w:r>
          <w:rPr>
            <w:color w:val="0000EE"/>
            <w:u w:val="single"/>
          </w:rPr>
          <w:t>[6]</w:t>
        </w:r>
      </w:hyperlink>
      <w:r>
        <w:t xml:space="preserve">, </w:t>
      </w:r>
      <w:hyperlink r:id="rId15">
        <w:r>
          <w:rPr>
            <w:color w:val="0000EE"/>
            <w:u w:val="single"/>
          </w:rPr>
          <w:t>[7]</w:t>
        </w:r>
      </w:hyperlink>
      <w:r>
        <w:t xml:space="preserve">- Paragraph 10: </w:t>
      </w:r>
      <w:hyperlink r:id="rId9">
        <w:r>
          <w:rPr>
            <w:color w:val="0000EE"/>
            <w:u w:val="single"/>
          </w:rPr>
          <w:t>[2]</w:t>
        </w:r>
      </w:hyperlink>
      <w:r>
        <w:t xml:space="preserve">, </w:t>
      </w:r>
      <w:hyperlink r:id="rId14">
        <w:r>
          <w:rPr>
            <w:color w:val="0000EE"/>
            <w:u w:val="single"/>
          </w:rPr>
          <w:t>[3]</w:t>
        </w:r>
      </w:hyperlink>
      <w:r>
        <w:t xml:space="preserve">- Paragraph 11: </w:t>
      </w:r>
      <w:hyperlink r:id="rId10">
        <w:r>
          <w:rPr>
            <w:color w:val="0000EE"/>
            <w:u w:val="single"/>
          </w:rPr>
          <w:t>[4]</w:t>
        </w:r>
      </w:hyperlink>
      <w:r>
        <w:t xml:space="preserve">, </w:t>
      </w:r>
      <w:hyperlink r:id="rId12">
        <w:r>
          <w:rPr>
            <w:color w:val="0000EE"/>
            <w:u w:val="single"/>
          </w:rPr>
          <w:t>[6]</w:t>
        </w:r>
      </w:hyperlink>
      <w:r>
        <w:t xml:space="preserve">- Paragraph 12: </w:t>
      </w:r>
      <w:hyperlink r:id="rId9">
        <w:r>
          <w:rPr>
            <w:color w:val="0000EE"/>
            <w:u w:val="single"/>
          </w:rPr>
          <w:t>[2]</w:t>
        </w:r>
      </w:hyperlink>
      <w:r>
        <w:t xml:space="preserve">, </w:t>
      </w:r>
      <w:hyperlink r:id="rId14">
        <w:r>
          <w:rPr>
            <w:color w:val="0000EE"/>
            <w:u w:val="single"/>
          </w:rPr>
          <w:t>[3]</w:t>
        </w:r>
      </w:hyperlink>
      <w:r>
        <w:t xml:space="preserve">- Paragraph 13: </w:t>
      </w:r>
      <w:hyperlink r:id="rId12">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https://www.woodhullfoundation.org/woodhull-watchlist-supreme-court-term-2026-2027/?utm_source=rss&amp;utm_medium=rss&amp;utm_campaign=woodhull-watchlist-supreme-court-term-2026-2027</w:t>
        </w:r>
      </w:hyperlink>
      <w:r>
        <w:t xml:space="preserve"> - Please view link - unable to able to access data</w:t>
      </w:r>
      <w:r/>
    </w:p>
    <w:p>
      <w:pPr>
        <w:pStyle w:val="ListNumber"/>
        <w:spacing w:line="240" w:lineRule="auto"/>
        <w:ind w:left="720"/>
      </w:pPr>
      <w:r/>
      <w:hyperlink r:id="rId9">
        <w:r>
          <w:rPr>
            <w:color w:val="0000EE"/>
            <w:u w:val="single"/>
          </w:rPr>
          <w:t>https://www.oyez.org/cases/2026/25-840</w:t>
        </w:r>
      </w:hyperlink>
      <w:r>
        <w:t xml:space="preserve"> - This page provides detailed information on the Supreme Court case International Partners for Ethical Care, Inc. v. Ferguson, docket number 25-840. The case involves Washington State laws that allow licensed youth shelters to protect the identity of minors seeking or receiving gender-affirming care without notifying their parents. The petitioners, representing parents and family-rights groups, challenge these laws, arguing they violate constitutional rights related to parental decision-making and access to information. The Supreme Court granted certiorari on June 29, 2026, and oral arguments are scheduled for December 7, 2026.</w:t>
      </w:r>
      <w:r/>
    </w:p>
    <w:p>
      <w:pPr>
        <w:pStyle w:val="ListNumber"/>
        <w:spacing w:line="240" w:lineRule="auto"/>
        <w:ind w:left="720"/>
      </w:pPr>
      <w:r/>
      <w:hyperlink r:id="rId14">
        <w:r>
          <w:rPr>
            <w:color w:val="0000EE"/>
            <w:u w:val="single"/>
          </w:rPr>
          <w:t>https://www.oyez.org/cases/2026/25-581</w:t>
        </w:r>
      </w:hyperlink>
      <w:r>
        <w:t xml:space="preserve"> - This page offers comprehensive details on the Supreme Court case St. Mary Catholic Parish v. Roy, docket number 25-581. The case examines whether religious schools participating in Colorado's state-funded universal preschool program can refuse to enroll students from LGBTQ+ families, potentially violating the program's non-discrimination requirements. The Supreme Court granted certiorari on April 20, 2026, and oral arguments are scheduled for November 3, 2026. The case raises significant questions about the intersection of religious freedom and LGBTQ+ rights in educational settings.</w:t>
      </w:r>
      <w:r/>
    </w:p>
    <w:p>
      <w:pPr>
        <w:pStyle w:val="ListNumber"/>
        <w:spacing w:line="240" w:lineRule="auto"/>
        <w:ind w:left="720"/>
      </w:pPr>
      <w:r/>
      <w:hyperlink r:id="rId10">
        <w:r>
          <w:rPr>
            <w:color w:val="0000EE"/>
            <w:u w:val="single"/>
          </w:rPr>
          <w:t>https://www.hrc.org/press-releases/supreme-court-to-hear-oral-arguments-in-st-mary-catholic-parish-v-roy-a-case-that-could-impact-critical-protections-for-colorados-lgbtq-families</w:t>
        </w:r>
      </w:hyperlink>
      <w:r>
        <w:t xml:space="preserve"> - The Human Rights Campaign's press release discusses the Supreme Court's decision to hear oral arguments in St. Mary Catholic Parish v. Roy, a case that could impact protections for Colorado's LGBTQ+ families. The case will determine whether religious schools participating in Colorado's state-funded universal preschool program can violate the program's non-discrimination requirements by denying or withdrawing admission to LGBTQ+ families. The Supreme Court is set to hear the case on November 3, 2026.</w:t>
      </w:r>
      <w:r/>
    </w:p>
    <w:p>
      <w:pPr>
        <w:pStyle w:val="ListNumber"/>
        <w:spacing w:line="240" w:lineRule="auto"/>
        <w:ind w:left="720"/>
      </w:pPr>
      <w:r/>
      <w:hyperlink r:id="rId11">
        <w:r>
          <w:rPr>
            <w:color w:val="0000EE"/>
            <w:u w:val="single"/>
          </w:rPr>
          <w:t>https://www.ffrf.org/legal/amicus-briefs/st-mary-catholic-parish-v-roy-2026/</w:t>
        </w:r>
      </w:hyperlink>
      <w:r>
        <w:t xml:space="preserve"> - The Freedom From Religion Foundation (FFRF) filed an amicus brief with the Supreme Court in St. Mary Catholic Parish v. Roy, a case testing whether Colorado can forbid faith-based preschools from discriminating in their admissions decisions as a condition for receiving government childcare funding. The brief argues that mandating religious exemptions whenever any secular exemption is allowed would create a chaotic system and would require lawmaking to a degree that legislatures are not prepared to handle.</w:t>
      </w:r>
      <w:r/>
    </w:p>
    <w:p>
      <w:pPr>
        <w:pStyle w:val="ListNumber"/>
        <w:spacing w:line="240" w:lineRule="auto"/>
        <w:ind w:left="720"/>
      </w:pPr>
      <w:r/>
      <w:hyperlink r:id="rId12">
        <w:r>
          <w:rPr>
            <w:color w:val="0000EE"/>
            <w:u w:val="single"/>
          </w:rPr>
          <w:t>https://www.apnews.com/article/c73090777e396c8f50a4653f745d4a70</w:t>
        </w:r>
      </w:hyperlink>
      <w:r>
        <w:t xml:space="preserve"> - The Associated Press article reports on the Supreme Court agreeing to hear a case brought by two Catholic preschools in Colorado challenging their exclusion from a taxpayer-funded universal preschool program because they refuse to admit children from LGBTQ+ families. The schools argue that Colorado is violating their religious freedom by enforcing nondiscrimination requirements. The case is set to be heard in the fall, with a decision likely by June next year.</w:t>
      </w:r>
      <w:r/>
    </w:p>
    <w:p>
      <w:pPr>
        <w:pStyle w:val="ListNumber"/>
        <w:spacing w:line="240" w:lineRule="auto"/>
        <w:ind w:left="720"/>
      </w:pPr>
      <w:r/>
      <w:hyperlink r:id="rId15">
        <w:r>
          <w:rPr>
            <w:color w:val="0000EE"/>
            <w:u w:val="single"/>
          </w:rPr>
          <w:t>https://www.youtube.com/watch?v=FZW6TPGk6rE</w:t>
        </w:r>
      </w:hyperlink>
      <w:r>
        <w:t xml:space="preserve"> - This YouTube video discusses the Supreme Court case St. Mary Catholic Parish in Littleton v. Roy, which challenges Colorado's universal preschool program. The program requires all participating providers, including religious schools, to follow nondiscrimination rules covering sexual orientation and gender identity. The video provides an overview of the case and its potential implications for LGBTQ+ families nationwide.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yez.org/cases/2026/25-840" TargetMode="External"/><Relationship Id="rId10" Type="http://schemas.openxmlformats.org/officeDocument/2006/relationships/hyperlink" Target="https://www.hrc.org/press-releases/supreme-court-to-hear-oral-arguments-in-st-mary-catholic-parish-v-roy-a-case-that-could-impact-critical-protections-for-colorados-lgbtq-families" TargetMode="External"/><Relationship Id="rId11" Type="http://schemas.openxmlformats.org/officeDocument/2006/relationships/hyperlink" Target="https://www.ffrf.org/legal/amicus-briefs/st-mary-catholic-parish-v-roy-2026/" TargetMode="External"/><Relationship Id="rId12" Type="http://schemas.openxmlformats.org/officeDocument/2006/relationships/hyperlink" Target="https://www.apnews.com/article/c73090777e396c8f50a4653f745d4a70" TargetMode="External"/><Relationship Id="rId13" Type="http://schemas.openxmlformats.org/officeDocument/2006/relationships/hyperlink" Target="https://www.woodhullfoundation.org/woodhull-watchlist-supreme-court-term-2026-2027/?utm_source=rss&amp;utm_medium=rss&amp;utm_campaign=woodhull-watchlist-supreme-court-term-2026-2027" TargetMode="External"/><Relationship Id="rId14" Type="http://schemas.openxmlformats.org/officeDocument/2006/relationships/hyperlink" Target="https://www.oyez.org/cases/2026/25-581" TargetMode="External"/><Relationship Id="rId15" Type="http://schemas.openxmlformats.org/officeDocument/2006/relationships/hyperlink" Target="https://www.youtube.com/watch?v=FZW6TPGk6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