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healthcare gaps reveal why inclusive care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Patients across the Coachella Valley are calling for safer, more informed LGBTQ+ healthcare, after local survey findings highlighted missed screenings, weak representation and fear of judgement. The message is clear: respectful care isn't an optional extra, but a practical part of better health outcomes for lesbian and queer women.</w:t>
      </w:r>
      <w:r/>
    </w:p>
    <w:p>
      <w:pPr>
        <w:pStyle w:val="Heading2"/>
      </w:pPr>
      <w:r>
        <w:t>Essential Takeaways</w:t>
      </w:r>
      <w:r/>
      <w:r/>
    </w:p>
    <w:p>
      <w:pPr>
        <w:pStyle w:val="ListBullet"/>
        <w:spacing w:line="240" w:lineRule="auto"/>
        <w:ind w:left="720"/>
      </w:pPr>
      <w:r/>
      <w:r>
        <w:rPr>
          <w:b/>
        </w:rPr>
        <w:t>Trust affects treatment:</w:t>
      </w:r>
      <w:r>
        <w:t xml:space="preserve"> Patients may delay care when they expect judgement or misunderstanding.</w:t>
      </w:r>
      <w:r/>
    </w:p>
    <w:p>
      <w:pPr>
        <w:pStyle w:val="ListBullet"/>
        <w:spacing w:line="240" w:lineRule="auto"/>
        <w:ind w:left="720"/>
      </w:pPr>
      <w:r/>
      <w:r>
        <w:rPr>
          <w:b/>
        </w:rPr>
        <w:t>Screenings still matter:</w:t>
      </w:r>
      <w:r>
        <w:t xml:space="preserve"> Lesbian women need routine breast checks, cervical screening and other preventive care.</w:t>
      </w:r>
      <w:r/>
    </w:p>
    <w:p>
      <w:pPr>
        <w:pStyle w:val="ListBullet"/>
        <w:spacing w:line="240" w:lineRule="auto"/>
        <w:ind w:left="720"/>
      </w:pPr>
      <w:r/>
      <w:r>
        <w:rPr>
          <w:b/>
        </w:rPr>
        <w:t>Research remains limited:</w:t>
      </w:r>
      <w:r>
        <w:t xml:space="preserve"> KFF and academic research point to persistent gaps in LGBTQ+ health data.</w:t>
      </w:r>
      <w:r/>
    </w:p>
    <w:p>
      <w:pPr>
        <w:pStyle w:val="ListBullet"/>
        <w:spacing w:line="240" w:lineRule="auto"/>
        <w:ind w:left="720"/>
      </w:pPr>
      <w:r/>
      <w:r>
        <w:rPr>
          <w:b/>
        </w:rPr>
        <w:t>Local voices are organising:</w:t>
      </w:r>
      <w:r>
        <w:t xml:space="preserve"> Community groups are pushing for women-centred services and better-trained providers.</w:t>
      </w:r>
      <w:r/>
    </w:p>
    <w:p>
      <w:pPr>
        <w:pStyle w:val="ListBullet"/>
        <w:spacing w:line="240" w:lineRule="auto"/>
        <w:ind w:left="720"/>
      </w:pPr>
      <w:r/>
      <w:r>
        <w:rPr>
          <w:b/>
        </w:rPr>
        <w:t>A new clinic is planned:</w:t>
      </w:r>
      <w:r>
        <w:t xml:space="preserve"> DAP Health's women's health clinic is expected to open in Palm Springs in early 2027.</w:t>
      </w:r>
      <w:r/>
      <w:r/>
    </w:p>
    <w:p>
      <w:pPr>
        <w:pStyle w:val="Heading2"/>
      </w:pPr>
      <w:r>
        <w:t>When a doctor's office doesn't feel safe</w:t>
      </w:r>
      <w:r/>
    </w:p>
    <w:p>
      <w:r/>
      <w:r>
        <w:t>The most disturbing detail in this story isn't a statistic. It's the memory of a hospice nurse suggesting that a woman's illness might be punishment for being a lesbian. Kelly Watson, who later helped establish Triangle Care Management, says the experience shaped her determination to make healthcare safer for LGBTQ+ people.</w:t>
      </w:r>
      <w:r/>
    </w:p>
    <w:p>
      <w:r/>
      <w:r>
        <w:t>That kind of cruelty may be an extreme example, but the underlying problem is more familiar: patients worrying that a provider won't understand their relationship, identity or health needs. KFF research on LGBTQ+ healthcare access and discrimination shows that cost, access barriers and negative experiences can all make people less likely to seek help.</w:t>
      </w:r>
      <w:r/>
    </w:p>
    <w:p>
      <w:r/>
      <w:r>
        <w:t>For someone already nervous about a diagnosis, a cold reception can feel like a locked door. The result isn't simply an uncomfortable appointment. It can mean symptoms go unmentioned, screenings are postponed and trust disappears.</w:t>
      </w:r>
      <w:r/>
    </w:p>
    <w:p>
      <w:pPr>
        <w:pStyle w:val="Heading2"/>
      </w:pPr>
      <w:r>
        <w:t>Why inclusive care can change health outcomes</w:t>
      </w:r>
      <w:r/>
    </w:p>
    <w:p>
      <w:r/>
      <w:r>
        <w:t>A local survey by the LGBTQ Community Center of the Desert found that health and wellness ranked as the leading quality-of-life concern for respondents. Participants also highlighted the need for reproductive healthcare, respectful doctors and services designed with women in mind.</w:t>
      </w:r>
      <w:r/>
    </w:p>
    <w:p>
      <w:r/>
      <w:r>
        <w:t>That matters because LGBTQ+ patients aren't a single, uniform group. Lesbian and queer women can have specific preventive-health needs, yet those needs are often blurred in broad healthcare categories. Research discussed by KFF and LGBTQ+ health organisations points to disparities in access, delayed treatment and overall health outcomes.</w:t>
      </w:r>
      <w:r/>
    </w:p>
    <w:p>
      <w:r/>
      <w:r>
        <w:t>The practical lesson is straightforward. Inclusive care doesn't mean giving patients special treatment; it means asking better questions, avoiding assumptions and understanding that a patient's family, partner and sexual-health history may not fit an old-fashioned template.</w:t>
      </w:r>
      <w:r/>
    </w:p>
    <w:p>
      <w:pPr>
        <w:pStyle w:val="Heading2"/>
      </w:pPr>
      <w:r>
        <w:t>The screening myths that put women at risk</w:t>
      </w:r>
      <w:r/>
    </w:p>
    <w:p>
      <w:r/>
      <w:r>
        <w:t>One particularly damaging misconception is that lesbian women don't need routine cervical or breast screening. Medical professionals quoted in the Coachella Valley report have warned that this is false, while LGBTQ+ health guidance continues to stress the importance of preventive care based on individual risk and anatomy.</w:t>
      </w:r>
      <w:r/>
    </w:p>
    <w:p>
      <w:r/>
      <w:r>
        <w:t>HPV can be passed between women, and breast cancer risk doesn't vanish because a patient has a female partner. Yet if a woman expects a provider to question her sexuality or make assumptions about her sex life, she may decide that avoiding the appointment is easier.</w:t>
      </w:r>
      <w:r/>
    </w:p>
    <w:p>
      <w:r/>
      <w:r>
        <w:t>That is why choosing an LGBTQ+-affirming practice can be useful. When booking, ask whether the surgery has experience with LGBTQ+ patients, whether forms include inclusive relationship options and whether you can request a clinician you feel comfortable with. Small signals, such as using the right name and pronouns, can make the room feel noticeably less intimidating.</w:t>
      </w:r>
      <w:r/>
    </w:p>
    <w:p>
      <w:pPr>
        <w:pStyle w:val="Heading2"/>
      </w:pPr>
      <w:r>
        <w:t>Better training starts with better data</w:t>
      </w:r>
      <w:r/>
    </w:p>
    <w:p>
      <w:r/>
      <w:r>
        <w:t>Karyl Ketchum of The L-Fund argues that lesbian and queer women are often overlooked within research that already treats LGBTQ+ people as a minority population. That creates a frustrating chain reaction: fewer studies lead to less teaching, which leaves clinicians less prepared and patients doing the explaining.</w:t>
      </w:r>
      <w:r/>
    </w:p>
    <w:p>
      <w:r/>
      <w:r>
        <w:t>Academic work on cultural competence has also questioned whether a tick-box approach is enough. Training can help, but genuine competence involves listening, recognising power differences and understanding that no patient should have to deliver a crash course in their own identity before receiving care.</w:t>
      </w:r>
      <w:r/>
    </w:p>
    <w:p>
      <w:r/>
      <w:r>
        <w:t>The shift is already visible in community-led efforts. The LGBTQ Community Center of the Desert is presenting its survey findings through town halls, while organisations such as Triangle Care Management are helping older LGBTQ+ adults and people with disabilities navigate care.</w:t>
      </w:r>
      <w:r/>
    </w:p>
    <w:p>
      <w:pPr>
        <w:pStyle w:val="Heading2"/>
      </w:pPr>
      <w:r>
        <w:t>What the next phase of care could look like</w:t>
      </w:r>
      <w:r/>
    </w:p>
    <w:p>
      <w:r/>
      <w:r>
        <w:t>Dr Laura Rush, who spent years working as one of the few openly lesbian doctors in the Coachella Valley, has returned to medicine with DAP Health. She is expected to work closely with a women's health clinic planned for the organisation's Sunrise Campus in Palm Springs in early 2027.</w:t>
      </w:r>
      <w:r/>
    </w:p>
    <w:p>
      <w:r/>
      <w:r>
        <w:t>A dedicated service won't solve every problem, but it could remove one of the biggest barriers: the fear of having to justify yourself before being treated. KFF findings suggest LGBTQ+ adults are more likely to postpone or skip needed care, so a welcoming local clinic could make prevention feel more realistic, not merely recommended.</w:t>
      </w:r>
      <w:r/>
    </w:p>
    <w:p>
      <w:r/>
      <w:r>
        <w:t>For patients, the outlook is cautiously hopeful. Better services, stronger research and more visible providers won't erase years of mistrust overnight, but they can begin to replace dread with something far more useful: confidence.</w:t>
      </w:r>
      <w:r/>
    </w:p>
    <w:p>
      <w:r/>
      <w:r>
        <w:t>It's a small change in the consultation room, but it can have life-saving consequences.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1">
        <w:r>
          <w:rPr>
            <w:color w:val="0000EE"/>
            <w:u w:val="single"/>
          </w:rPr>
          <w:t>[4]</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5">
        <w:r>
          <w:rPr>
            <w:color w:val="0000EE"/>
            <w:u w:val="single"/>
          </w:rPr>
          <w:t>[6]</w:t>
        </w:r>
      </w:hyperlink>
      <w:r>
        <w:t xml:space="preserve">- Paragraph 5: </w:t>
      </w:r>
      <w:hyperlink r:id="rId10">
        <w:r>
          <w:rPr>
            <w:color w:val="0000EE"/>
            <w:u w:val="single"/>
          </w:rPr>
          <w:t>[2]</w:t>
        </w:r>
      </w:hyperlink>
      <w:r>
        <w:t xml:space="preserve">, </w:t>
      </w:r>
      <w:hyperlink r:id="rId15">
        <w:r>
          <w:rPr>
            <w:color w:val="0000EE"/>
            <w:u w:val="single"/>
          </w:rPr>
          <w:t>[6]</w:t>
        </w:r>
      </w:hyperlink>
      <w:r>
        <w:t xml:space="preserve">- Paragraph 6: </w:t>
      </w:r>
      <w:hyperlink r:id="rId13">
        <w:r>
          <w:rPr>
            <w:color w:val="0000EE"/>
            <w:u w:val="single"/>
          </w:rPr>
          <w:t>[5]</w:t>
        </w:r>
      </w:hyperlink>
      <w:r>
        <w:t xml:space="preserve">, </w:t>
      </w:r>
      <w:hyperlink r:id="rId14">
        <w:r>
          <w:rPr>
            <w:color w:val="0000EE"/>
            <w:u w:val="single"/>
          </w:rPr>
          <w:t>[7]</w:t>
        </w:r>
      </w:hyperlink>
      <w:r>
        <w:t xml:space="preserve">- Paragraph 7: </w:t>
      </w:r>
      <w:hyperlink r:id="rId10">
        <w:r>
          <w:rPr>
            <w:color w:val="0000EE"/>
            <w:u w:val="single"/>
          </w:rPr>
          <w:t>[2]</w:t>
        </w:r>
      </w:hyperlink>
      <w:r>
        <w:t xml:space="preserve">, </w:t>
      </w:r>
      <w:hyperlink r:id="rId15">
        <w:r>
          <w:rPr>
            <w:color w:val="0000EE"/>
            <w:u w:val="single"/>
          </w:rPr>
          <w:t>[6]</w:t>
        </w:r>
      </w:hyperlink>
      <w:r>
        <w:t xml:space="preserve">- Paragraph 8: </w:t>
      </w:r>
      <w:hyperlink r:id="rId12">
        <w:r>
          <w:rPr>
            <w:color w:val="0000EE"/>
            <w:u w:val="single"/>
          </w:rPr>
          <w:t>[3]</w:t>
        </w:r>
      </w:hyperlink>
      <w:r>
        <w:t xml:space="preserve">, </w:t>
      </w:r>
      <w:hyperlink r:id="rId11">
        <w:r>
          <w:rPr>
            <w:color w:val="0000EE"/>
            <w:u w:val="single"/>
          </w:rPr>
          <w:t>[4]</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3">
        <w:r>
          <w:rPr>
            <w:color w:val="0000EE"/>
            <w:u w:val="single"/>
          </w:rPr>
          <w:t>[5]</w:t>
        </w:r>
      </w:hyperlink>
      <w:r>
        <w:t xml:space="preserve">, </w:t>
      </w:r>
      <w:hyperlink r:id="rId14">
        <w:r>
          <w:rPr>
            <w:color w:val="0000EE"/>
            <w:u w:val="single"/>
          </w:rPr>
          <w:t>[7]</w:t>
        </w:r>
      </w:hyperlink>
      <w:r>
        <w:t xml:space="preserve">- Paragraph 11: </w:t>
      </w:r>
      <w:hyperlink r:id="rId15">
        <w:r>
          <w:rPr>
            <w:color w:val="0000EE"/>
            <w:u w:val="single"/>
          </w:rPr>
          <w:t>[6]</w:t>
        </w:r>
      </w:hyperlink>
      <w:r>
        <w:t xml:space="preserve">, </w:t>
      </w:r>
      <w:hyperlink r:id="rId14">
        <w:r>
          <w:rPr>
            <w:color w:val="0000EE"/>
            <w:u w:val="single"/>
          </w:rPr>
          <w:t>[7]</w:t>
        </w:r>
      </w:hyperlink>
      <w:r>
        <w:t xml:space="preserve">- Paragraph 12: </w:t>
      </w:r>
      <w:hyperlink r:id="rId10">
        <w:r>
          <w:rPr>
            <w:color w:val="0000EE"/>
            <w:u w:val="single"/>
          </w:rPr>
          <w:t>[2]</w:t>
        </w:r>
      </w:hyperlink>
      <w:r>
        <w:t xml:space="preserve">, </w:t>
      </w:r>
      <w:hyperlink r:id="rId12">
        <w:r>
          <w:rPr>
            <w:color w:val="0000EE"/>
            <w:u w:val="single"/>
          </w:rPr>
          <w:t>[3]</w:t>
        </w:r>
      </w:hyperlink>
      <w:r>
        <w:t xml:space="preserve">- Paragraph 13: </w:t>
      </w:r>
      <w:hyperlink r:id="rId10">
        <w:r>
          <w:rPr>
            <w:color w:val="0000EE"/>
            <w:u w:val="single"/>
          </w:rPr>
          <w:t>[2]</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https://cvindependent.com/2026/10/overcoming-cultural-incompetence-meet-locals-who-are-working-to-improve-the-quality-of-health-care-for-lesbian-and-queer-women/</w:t>
        </w:r>
      </w:hyperlink>
      <w:r>
        <w:t xml:space="preserve"> - Please view link - unable to able to access data</w:t>
      </w:r>
      <w:r/>
    </w:p>
    <w:p>
      <w:pPr>
        <w:pStyle w:val="ListNumber"/>
        <w:spacing w:line="240" w:lineRule="auto"/>
        <w:ind w:left="720"/>
      </w:pPr>
      <w:r/>
      <w:hyperlink r:id="rId10">
        <w:r>
          <w:rPr>
            <w:color w:val="0000EE"/>
            <w:u w:val="single"/>
          </w:rPr>
          <w:t>https://www.kff.org/womens-health-policy/lgbt-peoples-health-status-and-access-to-care/</w:t>
        </w:r>
      </w:hyperlink>
      <w:r>
        <w:t xml:space="preserve"> - This report from the Kaiser Family Foundation examines the health status and access to care for LGBT+ individuals in the United States. It highlights that LGBT+ people are more likely to report being in fair or poor health and are managing chronic conditions at higher rates than non-LGBT+ individuals. The report also notes that LGBT+ people are less likely to be privately insured and more likely to have Medicaid coverage. Additionally, it discusses the challenges LGBT+ individuals face in accessing care, including higher rates of discrimination during health care visits compared to non-LGBT+ individuals.</w:t>
      </w:r>
      <w:r/>
    </w:p>
    <w:p>
      <w:pPr>
        <w:pStyle w:val="ListNumber"/>
        <w:spacing w:line="240" w:lineRule="auto"/>
        <w:ind w:left="720"/>
      </w:pPr>
      <w:r/>
      <w:hyperlink r:id="rId12">
        <w:r>
          <w:rPr>
            <w:color w:val="0000EE"/>
            <w:u w:val="single"/>
          </w:rPr>
          <w:t>https://www.kff.org/public-opinion/examining-lgbtq-adults-experiences-with-health-care-costs-and-access/</w:t>
        </w:r>
      </w:hyperlink>
      <w:r>
        <w:t xml:space="preserve"> - This analysis by the Kaiser Family Foundation explores the experiences of LGBTQ+ adults with health care costs and access. It reveals that 58% of LGBTQ+ adults have skipped or postponed needed health care in the past year, a higher rate than their non-LGBTQ+ counterparts. The report also highlights that LGBTQ+ adults are nearly twice as likely as non-LGBTQ+ adults to delay care due to costs. Trans adults, in particular, face significant barriers, with 82% reporting they have put off care in the past year because of cost or other issues.</w:t>
      </w:r>
      <w:r/>
    </w:p>
    <w:p>
      <w:pPr>
        <w:pStyle w:val="ListNumber"/>
        <w:spacing w:line="240" w:lineRule="auto"/>
        <w:ind w:left="720"/>
      </w:pPr>
      <w:r/>
      <w:hyperlink r:id="rId11">
        <w:r>
          <w:rPr>
            <w:color w:val="0000EE"/>
            <w:u w:val="single"/>
          </w:rPr>
          <w:t>https://www.kff.org/racial-equity-and-health-policy/lgbt-adults-experiences-with-discrimination-and-health-care-disparities-findings-from-the-kff-survey-of-racism-discrimination-and-health/</w:t>
        </w:r>
      </w:hyperlink>
      <w:r>
        <w:t xml:space="preserve"> - This report from the Kaiser Family Foundation examines the experiences of LGBT adults with discrimination and health care disparities. It finds that LGBT adults are more likely to experience discrimination in their daily lives compared to non-LGBT adults, including in health care settings. About two-thirds of LGBT adults report experiencing at least one form of discrimination in the past year, and they are twice as likely as non-LGBT adults to report negative experiences during health care visits, such as being treated unfairly or with disrespect.</w:t>
      </w:r>
      <w:r/>
    </w:p>
    <w:p>
      <w:pPr>
        <w:pStyle w:val="ListNumber"/>
        <w:spacing w:line="240" w:lineRule="auto"/>
        <w:ind w:left="720"/>
      </w:pPr>
      <w:r/>
      <w:hyperlink r:id="rId13">
        <w:r>
          <w:rPr>
            <w:color w:val="0000EE"/>
            <w:u w:val="single"/>
          </w:rPr>
          <w:t>https://www.researchgate.net/publication/265417321_Making_Assumptions_Making_Space_An_Anthropological_Critique_of_Cultural_Competency_and_Its_Relevance_to_Queer_Patients</w:t>
        </w:r>
      </w:hyperlink>
      <w:r>
        <w:t xml:space="preserve"> - This anthropological critique examines the concept of cultural competency in healthcare and its relevance to queer patients. The study highlights that despite increased attention to culturally competent practices, LGBTQ individuals remain relatively invisible within medicine and other health professions. It discusses how healthcare providers often dismiss sexual and gender identity as irrelevant to care, and how routine practices can perpetuate or challenge the marginalization of LGBTQ women.</w:t>
      </w:r>
      <w:r/>
    </w:p>
    <w:p>
      <w:pPr>
        <w:pStyle w:val="ListNumber"/>
        <w:spacing w:line="240" w:lineRule="auto"/>
        <w:ind w:left="720"/>
      </w:pPr>
      <w:r/>
      <w:hyperlink r:id="rId15">
        <w:r>
          <w:rPr>
            <w:color w:val="0000EE"/>
            <w:u w:val="single"/>
          </w:rPr>
          <w:t>https://healthlgbtq.org/stateof/lgbtqhealth/</w:t>
        </w:r>
      </w:hyperlink>
      <w:r>
        <w:t xml:space="preserve"> - The National Coalition for LGBTQ Health's Third Annual State of LGBTQ Health™ National Survey assesses the current landscape of LGBTQ+ healthcare amid a rapidly evolving political and policy environment. The survey aims to gain insight into patient and provider pathways that optimise safety and care for the LGBTQ+ community, informing the development of supportive advocacy, education, research, and training activities for the workforce. Topics include barriers and facilitators to LGBTQ+ healthcare, the impact of recent federal changes on organisations serving LGBTQ+ communities, policies that improve LGBTQ+ health, organisational culture and policies, gender-affirming care, and workforce wellness, morale, and burnout.</w:t>
      </w:r>
      <w:r/>
    </w:p>
    <w:p>
      <w:pPr>
        <w:pStyle w:val="ListNumber"/>
        <w:spacing w:line="240" w:lineRule="auto"/>
        <w:ind w:left="720"/>
      </w:pPr>
      <w:r/>
      <w:hyperlink r:id="rId14">
        <w:r>
          <w:rPr>
            <w:color w:val="0000EE"/>
            <w:u w:val="single"/>
          </w:rPr>
          <w:t>https://anthrosource.onlinelibrary.wiley.com/doi/abs/10.1111/maq.12129</w:t>
        </w:r>
      </w:hyperlink>
      <w:r>
        <w:t xml:space="preserve"> - This study provides an anthropological critique of cultural competency and its relevance to queer patients. It highlights that despite increased attention to culturally competent practices, LGBTQ individuals remain relatively invisible within medicine and other health professions. The study discusses how healthcare providers often dismiss sexual and gender identity as irrelevant to care, and how routine practices can perpetuate or challenge the marginalisation of LGBTQ women.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vindependent.com/2026/10/overcoming-cultural-incompetence-meet-locals-who-are-working-to-improve-the-quality-of-health-care-for-lesbian-and-queer-women/" TargetMode="External"/><Relationship Id="rId10" Type="http://schemas.openxmlformats.org/officeDocument/2006/relationships/hyperlink" Target="https://www.kff.org/womens-health-policy/lgbt-peoples-health-status-and-access-to-care/" TargetMode="External"/><Relationship Id="rId11" Type="http://schemas.openxmlformats.org/officeDocument/2006/relationships/hyperlink" Target="https://www.kff.org/racial-equity-and-health-policy/lgbt-adults-experiences-with-discrimination-and-health-care-disparities-findings-from-the-kff-survey-of-racism-discrimination-and-health/" TargetMode="External"/><Relationship Id="rId12" Type="http://schemas.openxmlformats.org/officeDocument/2006/relationships/hyperlink" Target="https://www.kff.org/public-opinion/examining-lgbtq-adults-experiences-with-health-care-costs-and-access/" TargetMode="External"/><Relationship Id="rId13" Type="http://schemas.openxmlformats.org/officeDocument/2006/relationships/hyperlink" Target="https://www.researchgate.net/publication/265417321_Making_Assumptions_Making_Space_An_Anthropological_Critique_of_Cultural_Competency_and_Its_Relevance_to_Queer_Patients" TargetMode="External"/><Relationship Id="rId14" Type="http://schemas.openxmlformats.org/officeDocument/2006/relationships/hyperlink" Target="https://anthrosource.onlinelibrary.wiley.com/doi/abs/10.1111/maq.12129" TargetMode="External"/><Relationship Id="rId15" Type="http://schemas.openxmlformats.org/officeDocument/2006/relationships/hyperlink" Target="https://healthlgbtq.org/stateof/lgbtqhealt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