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National Coming Out Day Still Matters Every Day</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People across the LGBTQ+ community are marking National Coming Out Day with a reminder that visibility isn't a one-off announcement. From workplaces and classrooms to coffee shops and military communities, everyday decisions about sharing identity still depend on safety, trust and circumstance. That makes support, representation and genuinely welcoming spaces matter all year round.</w:t>
      </w:r>
      <w:r/>
    </w:p>
    <w:p>
      <w:pPr>
        <w:pStyle w:val="Heading2"/>
      </w:pPr>
      <w:r>
        <w:t>Essential Takeaways</w:t>
      </w:r>
      <w:r/>
      <w:r/>
    </w:p>
    <w:p>
      <w:pPr>
        <w:pStyle w:val="ListBullet"/>
        <w:spacing w:line="240" w:lineRule="auto"/>
        <w:ind w:left="720"/>
      </w:pPr>
      <w:r/>
      <w:r>
        <w:rPr>
          <w:b/>
        </w:rPr>
        <w:t>A continuing process:</w:t>
      </w:r>
      <w:r>
        <w:t xml:space="preserve"> Coming out can happen repeatedly as people enter new jobs, friendships and communities.</w:t>
      </w:r>
      <w:r/>
    </w:p>
    <w:p>
      <w:pPr>
        <w:pStyle w:val="ListBullet"/>
        <w:spacing w:line="240" w:lineRule="auto"/>
        <w:ind w:left="720"/>
      </w:pPr>
      <w:r/>
      <w:r>
        <w:rPr>
          <w:b/>
        </w:rPr>
        <w:t>Safety comes first:</w:t>
      </w:r>
      <w:r>
        <w:t xml:space="preserve"> No one should feel pressured to disclose their identity before they're ready.</w:t>
      </w:r>
      <w:r/>
    </w:p>
    <w:p>
      <w:pPr>
        <w:pStyle w:val="ListBullet"/>
        <w:spacing w:line="240" w:lineRule="auto"/>
        <w:ind w:left="720"/>
      </w:pPr>
      <w:r/>
      <w:r>
        <w:rPr>
          <w:b/>
        </w:rPr>
        <w:t>Visibility can help:</w:t>
      </w:r>
      <w:r>
        <w:t xml:space="preserve"> Small, supportive signals may reassure someone who feels isolated.</w:t>
      </w:r>
      <w:r/>
    </w:p>
    <w:p>
      <w:pPr>
        <w:pStyle w:val="ListBullet"/>
        <w:spacing w:line="240" w:lineRule="auto"/>
        <w:ind w:left="720"/>
      </w:pPr>
      <w:r/>
      <w:r>
        <w:rPr>
          <w:b/>
        </w:rPr>
        <w:t>Military history matters:</w:t>
      </w:r>
      <w:r>
        <w:t xml:space="preserve"> LGBTQ+ service members have faced discrimination, discharge and lasting practical disadvantages.</w:t>
      </w:r>
      <w:r/>
    </w:p>
    <w:p>
      <w:pPr>
        <w:pStyle w:val="ListBullet"/>
        <w:spacing w:line="240" w:lineRule="auto"/>
        <w:ind w:left="720"/>
      </w:pPr>
      <w:r/>
      <w:r>
        <w:rPr>
          <w:b/>
        </w:rPr>
        <w:t>Support is available:</w:t>
      </w:r>
      <w:r>
        <w:t xml:space="preserve"> Dedicated healthcare and veteran services can offer confidential, identity-aware help.</w:t>
      </w:r>
      <w:r/>
      <w:r/>
    </w:p>
    <w:p>
      <w:pPr>
        <w:pStyle w:val="Heading2"/>
      </w:pPr>
      <w:r>
        <w:t>Coming out isn't a single conversation</w:t>
      </w:r>
      <w:r/>
    </w:p>
    <w:p>
      <w:r/>
      <w:r>
        <w:t>A first disclosure can feel enormous, but the process rarely ends there. Every new colleague, neighbour, classmate or healthcare professional can bring the same quiet calculation: is this person safe, accepting and trustworthy?</w:t>
      </w:r>
      <w:r/>
    </w:p>
    <w:p>
      <w:r/>
      <w:r>
        <w:t>National Coming Out Day, observed on 11 October, gives that reality a public name. The occasion grew from the 1987 Second March on Washington for Lesbian and Gay Rights, and it has since become a date for visibility and solidarity. Dictionary.com notes that its purpose is not to demand disclosure, but to recognise the value of LGBTQ+ people being able to live openly on their own terms.</w:t>
      </w:r>
      <w:r/>
    </w:p>
    <w:p>
      <w:r/>
      <w:r>
        <w:t>That distinction matters. Coming out should be an option, not an obligation, and a rainbow badge can't replace protection from discrimination.</w:t>
      </w:r>
      <w:r/>
    </w:p>
    <w:p>
      <w:pPr>
        <w:pStyle w:val="Heading2"/>
      </w:pPr>
      <w:r>
        <w:t>Visibility can be powerful, but it isn't risk-free</w:t>
      </w:r>
      <w:r/>
    </w:p>
    <w:p>
      <w:r/>
      <w:r>
        <w:t>A casual mention of a partner or a photograph shared online may look ordinary, yet it can carry very different weight depending on the setting. Someone might feel relaxed in a familiar LGBTQ+ venue but guarded at work, in a new neighbourhood or while travelling.</w:t>
      </w:r>
      <w:r/>
    </w:p>
    <w:p>
      <w:r/>
      <w:r>
        <w:t>Research on LGBTQ+ military personnel and veterans reflects that wider tension. The Center for American Progress has reported economic, housing and health inequalities affecting LGBTQ+ service members and veterans, showing that visibility alone doesn't erase structural barriers.</w:t>
      </w:r>
      <w:r/>
    </w:p>
    <w:p>
      <w:r/>
      <w:r>
        <w:t>So, if you're supporting someone, avoid turning their identity into a test of courage. Use the name and pronouns they've shared, keep personal information private, and let them decide how much they want to say. A calm, matter-of-fact response can be more reassuring than an overblown speech.</w:t>
      </w:r>
      <w:r/>
    </w:p>
    <w:p>
      <w:pPr>
        <w:pStyle w:val="Heading2"/>
      </w:pPr>
      <w:r>
        <w:t>LGBTQ+ veterans carry a complicated history</w:t>
      </w:r>
      <w:r/>
    </w:p>
    <w:p>
      <w:r/>
      <w:r>
        <w:t>For many veterans, openness has been shaped by military policy as well as personal relationships. The repeal of Don't Ask, Don't Tell in 2011 ended a formal ban on openly gay, lesbian and bisexual service, but it didn't instantly undo years of secrecy, forced separation or lost opportunities.</w:t>
      </w:r>
      <w:r/>
    </w:p>
    <w:p>
      <w:r/>
      <w:r>
        <w:t>The Department of Veterans Affairs now provides LGBTQ+ health resources, including care and support intended to address the specific experiences of LGBTQ+ veterans. The Disabled American Veterans also highlights practical resources for veterans dealing with healthcare, benefits, housing and other concerns.</w:t>
      </w:r>
      <w:r/>
    </w:p>
    <w:p>
      <w:r/>
      <w:r>
        <w:t>That history gives places such as San Francisco's Castro district an added resonance. For younger service members and visitors, a welcoming dance floor or community venue can feel like a gift from people who fought to make that freedom possible. It sounds simple, but belonging is often built from precisely those ordinary moments.</w:t>
      </w:r>
      <w:r/>
    </w:p>
    <w:p>
      <w:pPr>
        <w:pStyle w:val="Heading2"/>
      </w:pPr>
      <w:r>
        <w:t>Small signals can create safer spaces</w:t>
      </w:r>
      <w:r/>
    </w:p>
    <w:p>
      <w:r/>
      <w:r>
        <w:t>Not everyone can be publicly open, and nobody should be nudged into disclosure. Still, small acts of support can tell others that they won't be judged. An inclusive workplace policy, a clearly displayed ally symbol, respectful language or a willingness to challenge a homophobic joke can all make a difference.</w:t>
      </w:r>
      <w:r/>
    </w:p>
    <w:p>
      <w:r/>
      <w:r>
        <w:t>The practical rule is straightforward: don't assume, don't pry and don't share someone else's news. If a friend comes out to you, thank them for trusting you, ask what support would be useful and check whether the information is confidential.</w:t>
      </w:r>
      <w:r/>
    </w:p>
    <w:p>
      <w:r/>
      <w:r>
        <w:t>For organisations, the basics matter too. Clear anti-discrimination policies, staff training, confidential reporting routes and access to LGBTQ+-competent healthcare are more meaningful than a seasonal social-media graphic. The Pentagon's review of past LGBTQ+ military discharges, reported by Axios, is a reminder that institutional decisions can shape people's lives long after a policy changes.</w:t>
      </w:r>
      <w:r/>
    </w:p>
    <w:p>
      <w:pPr>
        <w:pStyle w:val="Heading2"/>
      </w:pPr>
      <w:r>
        <w:t>The future depends on everyday welcome</w:t>
      </w:r>
      <w:r/>
    </w:p>
    <w:p>
      <w:r/>
      <w:r>
        <w:t>National Coming Out Day remains useful because it puts visibility on the calendar, but the deeper work happens between anniversaries. It happens when a manager corrects a colleague's language, when a clinician listens without assumptions, or when a veteran can seek help without wondering whether their identity will become a problem.</w:t>
      </w:r>
      <w:r/>
    </w:p>
    <w:p>
      <w:r/>
      <w:r>
        <w:t>There won't be one perfect way to mark the day. Some people will share their stories, while others will stay private and simply find comfort in seeing themselves reflected. Both choices are valid.</w:t>
      </w:r>
      <w:r/>
    </w:p>
    <w:p>
      <w:r/>
      <w:r>
        <w:t>The most generous approach is to make room for people to be known when they're ready, and protected when they're not. That kind of welcome can turn an ordinary room into somewhere people finally feel free to breathe.</w:t>
      </w:r>
      <w:r/>
    </w:p>
    <w:p>
      <w:r/>
      <w:r>
        <w:t>A safer, kinder space is built one everyday choice at a time.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[4]</w:t>
        </w:r>
      </w:hyperlink>
      <w:r>
        <w:t xml:space="preserve">, </w:t>
      </w:r>
      <w:hyperlink r:id="rId13">
        <w:r>
          <w:rPr>
            <w:color w:val="0000EE"/>
            <w:u w:val="single"/>
          </w:rPr>
          <w:t>[5]</w:t>
        </w:r>
      </w:hyperlink>
      <w:r>
        <w:t xml:space="preserve">- Paragraph 3: </w:t>
      </w:r>
      <w:hyperlink r:id="rId14">
        <w:r>
          <w:rPr>
            <w:color w:val="0000EE"/>
            <w:u w:val="single"/>
          </w:rPr>
          <w:t>[6]</w:t>
        </w:r>
      </w:hyperlink>
      <w:r>
        <w:t xml:space="preserve">, </w:t>
      </w:r>
      <w:hyperlink r:id="rId15">
        <w:r>
          <w:rPr>
            <w:color w:val="0000EE"/>
            <w:u w:val="single"/>
          </w:rPr>
          <w:t>[7]</w:t>
        </w:r>
      </w:hyperlink>
      <w:r>
        <w:t xml:space="preserve">- Paragraph 4: </w:t>
      </w:r>
      <w:hyperlink r:id="rId12">
        <w:r>
          <w:rPr>
            <w:color w:val="0000EE"/>
            <w:u w:val="single"/>
          </w:rPr>
          <w:t>[4]</w:t>
        </w:r>
      </w:hyperlink>
      <w:r>
        <w:t xml:space="preserve">, </w:t>
      </w:r>
      <w:hyperlink r:id="rId13">
        <w:r>
          <w:rPr>
            <w:color w:val="0000EE"/>
            <w:u w:val="single"/>
          </w:rPr>
          <w:t>[5]</w:t>
        </w:r>
      </w:hyperlink>
      <w:r>
        <w:t xml:space="preserve">- Paragraph 5: </w:t>
      </w:r>
      <w:hyperlink r:id="rId14">
        <w:r>
          <w:rPr>
            <w:color w:val="0000EE"/>
            <w:u w:val="single"/>
          </w:rPr>
          <w:t>[6]</w:t>
        </w:r>
      </w:hyperlink>
      <w:r>
        <w:t xml:space="preserve">, </w:t>
      </w:r>
      <w:hyperlink r:id="rId15">
        <w:r>
          <w:rPr>
            <w:color w:val="0000EE"/>
            <w:u w:val="single"/>
          </w:rPr>
          <w:t>[7]</w:t>
        </w:r>
      </w:hyperlink>
      <w:r>
        <w:t xml:space="preserve">- Paragraph 6: </w:t>
      </w:r>
      <w:hyperlink r:id="rId10">
        <w:r>
          <w:rPr>
            <w:color w:val="0000EE"/>
            <w:u w:val="single"/>
          </w:rPr>
          <w:t>[2]</w:t>
        </w:r>
      </w:hyperlink>
      <w:r>
        <w:t xml:space="preserve">, </w:t>
      </w:r>
      <w:hyperlink r:id="rId11">
        <w:r>
          <w:rPr>
            <w:color w:val="0000EE"/>
            <w:u w:val="single"/>
          </w:rPr>
          <w:t>[3]</w:t>
        </w:r>
      </w:hyperlink>
      <w:r>
        <w:t xml:space="preserve">- Paragraph 7: </w:t>
      </w:r>
      <w:hyperlink r:id="rId12">
        <w:r>
          <w:rPr>
            <w:color w:val="0000EE"/>
            <w:u w:val="single"/>
          </w:rPr>
          <w:t>[4]</w:t>
        </w:r>
      </w:hyperlink>
      <w:r>
        <w:t xml:space="preserve">, </w:t>
      </w:r>
      <w:hyperlink r:id="rId13">
        <w:r>
          <w:rPr>
            <w:color w:val="0000EE"/>
            <w:u w:val="single"/>
          </w:rPr>
          <w:t>[5]</w:t>
        </w:r>
      </w:hyperlink>
      <w:r>
        <w:t xml:space="preserve">- Paragraph 8: </w:t>
      </w:r>
      <w:hyperlink r:id="rId14">
        <w:r>
          <w:rPr>
            <w:color w:val="0000EE"/>
            <w:u w:val="single"/>
          </w:rPr>
          <w:t>[6]</w:t>
        </w:r>
      </w:hyperlink>
      <w:r>
        <w:t xml:space="preserve">, </w:t>
      </w:r>
      <w:hyperlink r:id="rId15">
        <w:r>
          <w:rPr>
            <w:color w:val="0000EE"/>
            <w:u w:val="single"/>
          </w:rPr>
          <w:t>[7]</w:t>
        </w:r>
      </w:hyperlink>
      <w:r>
        <w:t xml:space="preserve">- Paragraph 9: </w:t>
      </w:r>
      <w:hyperlink r:id="rId10">
        <w:r>
          <w:rPr>
            <w:color w:val="0000EE"/>
            <w:u w:val="single"/>
          </w:rPr>
          <w:t>[2]</w:t>
        </w:r>
      </w:hyperlink>
      <w:r>
        <w:t xml:space="preserve">, </w:t>
      </w:r>
      <w:hyperlink r:id="rId12">
        <w:r>
          <w:rPr>
            <w:color w:val="0000EE"/>
            <w:u w:val="single"/>
          </w:rPr>
          <w:t>[4]</w:t>
        </w:r>
      </w:hyperlink>
      <w:r>
        <w:t xml:space="preserve">- Paragraph 10: </w:t>
      </w:r>
      <w:hyperlink r:id="rId13">
        <w:r>
          <w:rPr>
            <w:color w:val="0000EE"/>
            <w:u w:val="single"/>
          </w:rPr>
          <w:t>[5]</w:t>
        </w:r>
      </w:hyperlink>
      <w:r>
        <w:t xml:space="preserve">, </w:t>
      </w:r>
      <w:hyperlink r:id="rId14">
        <w:r>
          <w:rPr>
            <w:color w:val="0000EE"/>
            <w:u w:val="single"/>
          </w:rPr>
          <w:t>[6]</w:t>
        </w:r>
      </w:hyperlink>
      <w:r>
        <w:t xml:space="preserve">- Paragraph 11: </w:t>
      </w:r>
      <w:hyperlink r:id="rId12">
        <w:r>
          <w:rPr>
            <w:color w:val="0000EE"/>
            <w:u w:val="single"/>
          </w:rPr>
          <w:t>[4]</w:t>
        </w:r>
      </w:hyperlink>
      <w:r>
        <w:t xml:space="preserve">, </w:t>
      </w:r>
      <w:hyperlink r:id="rId13">
        <w:r>
          <w:rPr>
            <w:color w:val="0000EE"/>
            <w:u w:val="single"/>
          </w:rPr>
          <w:t>[5]</w:t>
        </w:r>
      </w:hyperlink>
      <w:r>
        <w:t xml:space="preserve">- Paragraph 12: </w:t>
      </w:r>
      <w:hyperlink r:id="rId14">
        <w:r>
          <w:rPr>
            <w:color w:val="0000EE"/>
            <w:u w:val="single"/>
          </w:rPr>
          <w:t>[6]</w:t>
        </w:r>
      </w:hyperlink>
      <w:r>
        <w:t xml:space="preserve">, </w:t>
      </w:r>
      <w:hyperlink r:id="rId15">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https://sfbaytimes.com/coming-out-day-is-today-and-every-day/?utm_source=rss&amp;utm_medium=rss&amp;utm_campaign=coming-out-day-is-today-and-every-day</w:t>
        </w:r>
      </w:hyperlink>
      <w:r>
        <w:t xml:space="preserve"> - Please view link - unable to able to access data</w:t>
      </w:r>
      <w:r/>
    </w:p>
    <w:p>
      <w:pPr>
        <w:pStyle w:val="ListNumber"/>
        <w:spacing w:line="240" w:lineRule="auto"/>
        <w:ind w:left="720"/>
      </w:pPr>
      <w:r/>
      <w:hyperlink r:id="rId10">
        <w:r>
          <w:rPr>
            <w:color w:val="0000EE"/>
            <w:u w:val="single"/>
          </w:rPr>
          <w:t>https://en.wikipedia.org/wiki/National_Coming_Out_Day</w:t>
        </w:r>
      </w:hyperlink>
      <w:r>
        <w:t xml:space="preserve"> - National Coming Out Day (NCOD) is an annual LGBTQ+ awareness day observed on October 11 to support individuals 'coming out of the closet'. First celebrated in the United States in 1988, the day aims to promote visibility and challenge homophobia by encouraging people to share their identities openly. The founders believed that personal disclosure is a powerful form of activism, fostering understanding and acceptance. NCOD is observed in various countries, including Ireland, Switzerland, the Netherlands, the United Kingdom, and Portugal, each adapting the day to their cultural contexts.</w:t>
      </w:r>
      <w:r/>
    </w:p>
    <w:p>
      <w:pPr>
        <w:pStyle w:val="ListNumber"/>
        <w:spacing w:line="240" w:lineRule="auto"/>
        <w:ind w:left="720"/>
      </w:pPr>
      <w:r/>
      <w:hyperlink r:id="rId11">
        <w:r>
          <w:rPr>
            <w:color w:val="0000EE"/>
            <w:u w:val="single"/>
          </w:rPr>
          <w:t>https://www.dictionary.com/culture/historical-current-events/national-coming-out-day</w:t>
        </w:r>
      </w:hyperlink>
      <w:r>
        <w:t xml:space="preserve"> - National Coming Out Day, observed annually on October 11, is dedicated to supporting and celebrating the act of coming out—the process of publicly revealing one's sexuality or gender identity. Established in 1988 by activists Robert Eichberg and Jean O'Leary, the day commemorates the anniversary of the 1987 March on Washington for Lesbian and Gay Rights. The initiative encourages individuals to share their identities at their own pace, fostering visibility and understanding within society.</w:t>
      </w:r>
      <w:r/>
    </w:p>
    <w:p>
      <w:pPr>
        <w:pStyle w:val="ListNumber"/>
        <w:spacing w:line="240" w:lineRule="auto"/>
        <w:ind w:left="720"/>
      </w:pPr>
      <w:r/>
      <w:hyperlink r:id="rId12">
        <w:r>
          <w:rPr>
            <w:color w:val="0000EE"/>
            <w:u w:val="single"/>
          </w:rPr>
          <w:t>https://www.mentalhealth.va.gov/lgbtq-plus/index.asp</w:t>
        </w:r>
      </w:hyperlink>
      <w:r>
        <w:t xml:space="preserve"> - The U.S. Department of Veterans Affairs (VA) provides dedicated mental health services for LGBTQ+ veterans, recognising the unique challenges they face. Studies indicate that LGBTQ+ veterans are at an elevated risk for stress, which can increase the likelihood of mental and physical health conditions such as substance use disorders, anxiety, and depression. The VA is committed to offering high-quality healthcare in a sensitive and respectful environment, ensuring that all veterans receive the support they need.</w:t>
      </w:r>
      <w:r/>
    </w:p>
    <w:p>
      <w:pPr>
        <w:pStyle w:val="ListNumber"/>
        <w:spacing w:line="240" w:lineRule="auto"/>
        <w:ind w:left="720"/>
      </w:pPr>
      <w:r/>
      <w:hyperlink r:id="rId13">
        <w:r>
          <w:rPr>
            <w:color w:val="0000EE"/>
            <w:u w:val="single"/>
          </w:rPr>
          <w:t>https://www.dav.org/get-help-now/veteran-topics-resources/lgbtq-veterans/</w:t>
        </w:r>
      </w:hyperlink>
      <w:r>
        <w:t xml:space="preserve"> - The Disabled American Veterans (DAV) organisation highlights the unique challenges faced by LGBTQ+ veterans, including increased health risks and difficulties accessing quality healthcare. Many LGBTQ+ veterans are unaware of the services available to them or have concerns about discrimination. The DAV advocates for improved healthcare access and support for LGBTQ+ veterans, aiming to provide high-quality, respectful, and inclusive care to all veterans.</w:t>
      </w:r>
      <w:r/>
    </w:p>
    <w:p>
      <w:pPr>
        <w:pStyle w:val="ListNumber"/>
        <w:spacing w:line="240" w:lineRule="auto"/>
        <w:ind w:left="720"/>
      </w:pPr>
      <w:r/>
      <w:hyperlink r:id="rId14">
        <w:r>
          <w:rPr>
            <w:color w:val="0000EE"/>
            <w:u w:val="single"/>
          </w:rPr>
          <w:t>https://www.americanprogress.org/article/lgbtq-military-members-and-veterans-face-economic-housing-and-health-insecurities/</w:t>
        </w:r>
      </w:hyperlink>
      <w:r>
        <w:t xml:space="preserve"> - LGBTQ+ military members and veterans encounter significant economic, housing, and health insecurities. Over 80% of LGBTQ+ veterans report experiencing sexual harassment, and high rates of stigma and discrimination contribute to mental health challenges. LGB veterans are five times as likely as non-LGB veterans to receive a diagnosis for post-traumatic stress disorder, while transgender individuals experience significantly higher rates of mental illness. The legacy of 'Don't Ask, Don't Tell' has led to high rates of trauma-related disorders among LGBTQ+ veterans.</w:t>
      </w:r>
      <w:r/>
    </w:p>
    <w:p>
      <w:pPr>
        <w:pStyle w:val="ListNumber"/>
        <w:spacing w:line="240" w:lineRule="auto"/>
        <w:ind w:left="720"/>
      </w:pPr>
      <w:r/>
      <w:hyperlink r:id="rId15">
        <w:r>
          <w:rPr>
            <w:color w:val="0000EE"/>
            <w:u w:val="single"/>
          </w:rPr>
          <w:t>https://www.axios.com/2023/09/20/pentagon-lgbtq-case-military-discharge-review</w:t>
        </w:r>
      </w:hyperlink>
      <w:r>
        <w:t xml:space="preserve"> - The Pentagon announced a review of cases involving LGBTQ+ veterans who may have been forced out of the military under the 'Don't Ask, Don't Tell' (DADT) policy and other rules prohibiting LGBTQ+ people from serving openly. This review could allow thousands of veterans to receive retroactive honorable discharges, restoring their eligibility for the full range of military service benefits. Between 1980 and 2011, at least 32,837 LGBTQ+ service members were forced out of the military under discriminatory policies.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sfbaytimes.com/coming-out-day-is-today-and-every-day/?utm_source=rss&amp;utm_medium=rss&amp;utm_campaign=coming-out-day-is-today-and-every-day" TargetMode="External"/><Relationship Id="rId10" Type="http://schemas.openxmlformats.org/officeDocument/2006/relationships/hyperlink" Target="https://en.wikipedia.org/wiki/National_Coming_Out_Day" TargetMode="External"/><Relationship Id="rId11" Type="http://schemas.openxmlformats.org/officeDocument/2006/relationships/hyperlink" Target="https://www.dictionary.com/culture/historical-current-events/national-coming-out-day" TargetMode="External"/><Relationship Id="rId12" Type="http://schemas.openxmlformats.org/officeDocument/2006/relationships/hyperlink" Target="https://www.mentalhealth.va.gov/lgbtq-plus/index.asp" TargetMode="External"/><Relationship Id="rId13" Type="http://schemas.openxmlformats.org/officeDocument/2006/relationships/hyperlink" Target="https://www.dav.org/get-help-now/veteran-topics-resources/lgbtq-veterans/" TargetMode="External"/><Relationship Id="rId14" Type="http://schemas.openxmlformats.org/officeDocument/2006/relationships/hyperlink" Target="https://www.americanprogress.org/article/lgbtq-military-members-and-veterans-face-economic-housing-and-health-insecurities/" TargetMode="External"/><Relationship Id="rId15" Type="http://schemas.openxmlformats.org/officeDocument/2006/relationships/hyperlink" Target="https://www.axios.com/2023/09/20/pentagon-lgbtq-case-military-discharge-review"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