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Latest LGBTQ+ College Mental Health Study Reveals Discrimination Costs</w:t>
      </w:r>
      <w:r/>
    </w:p>
    <w:p>
      <w:r/>
      <w:r/>
    </w:p>
    <w:p>
      <w:r>
        <w:drawing>
          <wp:inline xmlns:a="http://schemas.openxmlformats.org/drawingml/2006/main" xmlns:pic="http://schemas.openxmlformats.org/drawingml/2006/picture">
            <wp:extent cx="5080000" cy="3408101"/>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3408101"/>
                    </a:xfrm>
                    <a:prstGeom prst="rect"/>
                  </pic:spPr>
                </pic:pic>
              </a:graphicData>
            </a:graphic>
          </wp:inline>
        </w:drawing>
      </w:r>
    </w:p>
    <w:p>
      <w:r/>
      <w:r>
        <w:rPr>
          <w:b/>
        </w:rPr>
        <w:t>Researchers have found that LGBTQ+ college students facing discrimination are far more likely to experience depression, anxiety and suicidal thoughts, while some avoid essential care. The national findings matter because university years often shape lifelong health habits, making inclusive services and safer campus support especially important.</w:t>
      </w:r>
      <w:r/>
    </w:p>
    <w:p>
      <w:pPr>
        <w:pStyle w:val="Heading2"/>
      </w:pPr>
      <w:r>
        <w:t>Essential Takeaways</w:t>
      </w:r>
      <w:r/>
      <w:r/>
    </w:p>
    <w:p>
      <w:pPr>
        <w:pStyle w:val="ListBullet"/>
        <w:spacing w:line="240" w:lineRule="auto"/>
        <w:ind w:left="720"/>
      </w:pPr>
      <w:r/>
      <w:r>
        <w:rPr>
          <w:b/>
        </w:rPr>
        <w:t>Large national sample:</w:t>
      </w:r>
      <w:r>
        <w:t xml:space="preserve"> The study analysed nearly 18,000 LGBTQ+ students aged 18 to 24 across 119 colleges and universities.</w:t>
      </w:r>
      <w:r/>
    </w:p>
    <w:p>
      <w:pPr>
        <w:pStyle w:val="ListBullet"/>
        <w:spacing w:line="240" w:lineRule="auto"/>
        <w:ind w:left="720"/>
      </w:pPr>
      <w:r/>
      <w:r>
        <w:rPr>
          <w:b/>
        </w:rPr>
        <w:t>Discrimination raises risk:</w:t>
      </w:r>
      <w:r>
        <w:t xml:space="preserve"> Students reporting discrimination were substantially more likely to meet criteria for depression, anxiety and suicidal thoughts.</w:t>
      </w:r>
      <w:r/>
    </w:p>
    <w:p>
      <w:pPr>
        <w:pStyle w:val="ListBullet"/>
        <w:spacing w:line="240" w:lineRule="auto"/>
        <w:ind w:left="720"/>
      </w:pPr>
      <w:r/>
      <w:r>
        <w:rPr>
          <w:b/>
        </w:rPr>
        <w:t>Care can feel unsafe:</w:t>
      </w:r>
      <w:r>
        <w:t xml:space="preserve"> Some students avoided needed medical treatment because they feared discriminatory experiences.</w:t>
      </w:r>
      <w:r/>
    </w:p>
    <w:p>
      <w:pPr>
        <w:pStyle w:val="ListBullet"/>
        <w:spacing w:line="240" w:lineRule="auto"/>
        <w:ind w:left="720"/>
      </w:pPr>
      <w:r/>
      <w:r>
        <w:rPr>
          <w:b/>
        </w:rPr>
        <w:t>Trans students face added barriers:</w:t>
      </w:r>
      <w:r>
        <w:t xml:space="preserve"> Transgender and non-binary participants were more than twice as likely as LGBQ+ students to report health-care denial.</w:t>
      </w:r>
      <w:r/>
    </w:p>
    <w:p>
      <w:pPr>
        <w:pStyle w:val="ListBullet"/>
        <w:spacing w:line="240" w:lineRule="auto"/>
        <w:ind w:left="720"/>
      </w:pPr>
      <w:r/>
      <w:r>
        <w:rPr>
          <w:b/>
        </w:rPr>
        <w:t>Counselling is a key opening:</w:t>
      </w:r>
      <w:r>
        <w:t xml:space="preserve"> Mental-health services could help identify distress and connect students with wider, affirming support.</w:t>
      </w:r>
      <w:r/>
      <w:r/>
    </w:p>
    <w:p>
      <w:pPr>
        <w:pStyle w:val="Heading2"/>
      </w:pPr>
      <w:r>
        <w:t>Discrimination is closely tied to poorer mental health</w:t>
      </w:r>
      <w:r/>
    </w:p>
    <w:p>
      <w:r/>
      <w:r>
        <w:t>The numbers are difficult to ignore. About one in 10 LGBTQ+ students in the survey said they'd experienced discrimination on campus during the previous year, and those students were much more likely to report depression, anxiety and suicidal thoughts, according to coverage of the research by Life Science Network.</w:t>
      </w:r>
      <w:r/>
    </w:p>
    <w:p>
      <w:r/>
      <w:r>
        <w:t>The wider picture is already serious. More than half of participants met criteria for depression, while anxiety affected nearly half of LGBQ+ students and more than half of transgender and non-binary students. Suicidal thoughts were reported by nearly one in five LGBQ+ participants and more than one in four transgender and non-binary participants.</w:t>
      </w:r>
      <w:r/>
    </w:p>
    <w:p>
      <w:r/>
      <w:r>
        <w:t>These figures describe associations rather than proving that discrimination alone caused each outcome. Still, the pattern is consistent and troubling: hostile or exclusionary experiences can add another layer of strain during an already demanding stage of life.</w:t>
      </w:r>
      <w:r/>
    </w:p>
    <w:p>
      <w:pPr>
        <w:pStyle w:val="Heading2"/>
      </w:pPr>
      <w:r>
        <w:t>Why college years can be a vulnerable transition</w:t>
      </w:r>
      <w:r/>
    </w:p>
    <w:p>
      <w:r/>
      <w:r>
        <w:t>University often brings independence, new relationships and a first move into adult health care. That freedom can be exciting, but it can also mean losing familiar clinicians, navigating unfamiliar systems and deciding whether a new provider feels trustworthy.</w:t>
      </w:r>
      <w:r/>
    </w:p>
    <w:p>
      <w:r/>
      <w:r>
        <w:t>Research on LGBTQ+ health has repeatedly highlighted how stigma, minority stress and barriers to care can influence wellbeing. A review published in the journal Social Sciences points to the importance of social environments and institutional support, rather than treating mental-health challenges as isolated individual problems.</w:t>
      </w:r>
      <w:r/>
    </w:p>
    <w:p>
      <w:r/>
      <w:r>
        <w:t>Health-care denial appeared especially consequential in the new analysis. Among LGBTQ+ students, those who'd been refused care had more than double the likelihood of reporting suicidal thoughts, while transgender and non-binary students were more than twice as likely as LGBQ+ students to report being denied health care.</w:t>
      </w:r>
      <w:r/>
    </w:p>
    <w:p>
      <w:pPr>
        <w:pStyle w:val="Heading2"/>
      </w:pPr>
      <w:r>
        <w:t>Avoiding care can make a difficult situation worse</w:t>
      </w:r>
      <w:r/>
    </w:p>
    <w:p>
      <w:r/>
      <w:r>
        <w:t>A worrying feature of the findings is that some students weren't simply unable to access support. They chose not to seek needed care because discrimination felt like a realistic possibility. Nearly 5% of LGBQ+ students and 13% of transgender and non-binary students reported avoiding medical care they needed.</w:t>
      </w:r>
      <w:r/>
    </w:p>
    <w:p>
      <w:r/>
      <w:r>
        <w:t>That creates a particularly cruel loop. Someone may need help with physical or mental health, yet concerns about misgendering, dismissal or refusal can make the appointment feel unsafe before it even begins. Earlier research on LGBTQ+ young people's health-care experiences has similarly linked anticipated stigma with delayed or avoided treatment, according to a study indexed by PubMed.</w:t>
      </w:r>
      <w:r/>
    </w:p>
    <w:p>
      <w:r/>
      <w:r>
        <w:t>For students, practical steps can include checking a provider's inclusion policies, asking whether staff have LGBTQ+ health training and using campus or community organisations for recommendations. Colleges, meanwhile, should make complaints processes clear, protect confidentiality and ensure that inclusive care isn't limited to a single specialist who may have a long waiting list.</w:t>
      </w:r>
      <w:r/>
    </w:p>
    <w:p>
      <w:pPr>
        <w:pStyle w:val="Heading2"/>
      </w:pPr>
      <w:r>
        <w:t>Counselling services could be an important safety net</w:t>
      </w:r>
      <w:r/>
    </w:p>
    <w:p>
      <w:r/>
      <w:r>
        <w:t>More than half of the students in the study had sought mental-health counselling. That makes therapy and campus wellbeing teams a valuable point of contact, not only for treating anxiety or depression but also for spotting discrimination-related distress and connecting students with medical and social support.</w:t>
      </w:r>
      <w:r/>
    </w:p>
    <w:p>
      <w:r/>
      <w:r>
        <w:t>The best services won't expect LGBTQ+ students to repeatedly explain or defend their identity. Small details matter, from respectful forms and pronoun practices to private rooms, properly trained staff and referral networks that include affirming clinicians. They can make a service feel calm and usable rather than like another test to pass.</w:t>
      </w:r>
      <w:r/>
    </w:p>
    <w:p>
      <w:r/>
      <w:r>
        <w:t>Broader evidence on college mental health also suggests that support needs to be easy to find and available before a crisis. A 2022 study in the National Library of Medicine examined barriers affecting students' use of mental-health services, reinforcing the value of accessible, trusted and culturally responsive provision.</w:t>
      </w:r>
      <w:r/>
    </w:p>
    <w:p>
      <w:pPr>
        <w:pStyle w:val="Heading2"/>
      </w:pPr>
      <w:r>
        <w:t>What colleges can do next</w:t>
      </w:r>
      <w:r/>
    </w:p>
    <w:p>
      <w:r/>
      <w:r>
        <w:t>The researchers argue that discrimination should be treated as part of suicide prevention, not as a separate equality issue. That means tracking incidents, responding consistently and training staff across health centres, counselling teams, accommodation and student services.</w:t>
      </w:r>
      <w:r/>
    </w:p>
    <w:p>
      <w:r/>
      <w:r>
        <w:t>It also means taking transgender and non-binary students' experiences seriously. Denial of care can have particularly far-reaching consequences where students depend on regular treatment, including gender-affirming services. A campus may advertise inclusion, but students will judge it by what happens at reception, in the consultation room and when they ask for help.</w:t>
      </w:r>
      <w:r/>
    </w:p>
    <w:p>
      <w:r/>
      <w:r>
        <w:t>The outlook isn't hopeless. Colleges that invest in affirming care, clear reporting routes and properly resourced counselling can reduce friction at exactly the moment students are building long-term relationships with health services. Feeling believed and respected shouldn't be an added benefit of care; it should be the baseline.</w:t>
      </w:r>
      <w:r/>
    </w:p>
    <w:p>
      <w:r/>
      <w:r>
        <w:t>Small improvements in trust can make a big difference when someone is deciding whether to seek help.</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[3]</w:t>
        </w:r>
      </w:hyperlink>
      <w:r>
        <w:t xml:space="preserve">- Paragraph 2: </w:t>
      </w:r>
      <w:hyperlink r:id="rId10">
        <w:r>
          <w:rPr>
            <w:color w:val="0000EE"/>
            <w:u w:val="single"/>
          </w:rPr>
          <w:t>[2]</w:t>
        </w:r>
      </w:hyperlink>
      <w:r>
        <w:t xml:space="preserve">, </w:t>
      </w:r>
      <w:hyperlink r:id="rId11">
        <w:r>
          <w:rPr>
            <w:color w:val="0000EE"/>
            <w:u w:val="single"/>
          </w:rPr>
          <w:t>[3]</w:t>
        </w:r>
      </w:hyperlink>
      <w:r>
        <w:t xml:space="preserve">- Paragraph 3: </w:t>
      </w:r>
      <w:hyperlink r:id="rId12">
        <w:r>
          <w:rPr>
            <w:color w:val="0000EE"/>
            <w:u w:val="single"/>
          </w:rPr>
          <w:t>[4]</w:t>
        </w:r>
      </w:hyperlink>
      <w:r>
        <w:t xml:space="preserve">, </w:t>
      </w:r>
      <w:hyperlink r:id="rId13">
        <w:r>
          <w:rPr>
            <w:color w:val="0000EE"/>
            <w:u w:val="single"/>
          </w:rPr>
          <w:t>[5]</w:t>
        </w:r>
      </w:hyperlink>
      <w:r>
        <w:t xml:space="preserve">- Paragraph 4: </w:t>
      </w:r>
      <w:hyperlink r:id="rId14">
        <w:r>
          <w:rPr>
            <w:color w:val="0000EE"/>
            <w:u w:val="single"/>
          </w:rPr>
          <w:t>[6]</w:t>
        </w:r>
      </w:hyperlink>
      <w:r>
        <w:t xml:space="preserve">, </w:t>
      </w:r>
      <w:hyperlink r:id="rId15">
        <w:r>
          <w:rPr>
            <w:color w:val="0000EE"/>
            <w:u w:val="single"/>
          </w:rPr>
          <w:t>[7]</w:t>
        </w:r>
      </w:hyperlink>
      <w:r>
        <w:t xml:space="preserve">- Paragraph 5: </w:t>
      </w:r>
      <w:hyperlink r:id="rId12">
        <w:r>
          <w:rPr>
            <w:color w:val="0000EE"/>
            <w:u w:val="single"/>
          </w:rPr>
          <w:t>[4]</w:t>
        </w:r>
      </w:hyperlink>
      <w:r>
        <w:t xml:space="preserve">, </w:t>
      </w:r>
      <w:hyperlink r:id="rId13">
        <w:r>
          <w:rPr>
            <w:color w:val="0000EE"/>
            <w:u w:val="single"/>
          </w:rPr>
          <w:t>[5]</w:t>
        </w:r>
      </w:hyperlink>
      <w:r>
        <w:t xml:space="preserve">- Paragraph 6: </w:t>
      </w:r>
      <w:hyperlink r:id="rId14">
        <w:r>
          <w:rPr>
            <w:color w:val="0000EE"/>
            <w:u w:val="single"/>
          </w:rPr>
          <w:t>[6]</w:t>
        </w:r>
      </w:hyperlink>
      <w:r>
        <w:t xml:space="preserve">, </w:t>
      </w:r>
      <w:hyperlink r:id="rId15">
        <w:r>
          <w:rPr>
            <w:color w:val="0000EE"/>
            <w:u w:val="single"/>
          </w:rPr>
          <w:t>[7]</w:t>
        </w:r>
      </w:hyperlink>
      <w:r>
        <w:t xml:space="preserve">- Paragraph 7: </w:t>
      </w:r>
      <w:hyperlink r:id="rId12">
        <w:r>
          <w:rPr>
            <w:color w:val="0000EE"/>
            <w:u w:val="single"/>
          </w:rPr>
          <w:t>[4]</w:t>
        </w:r>
      </w:hyperlink>
      <w:r>
        <w:t xml:space="preserve">, </w:t>
      </w:r>
      <w:hyperlink r:id="rId13">
        <w:r>
          <w:rPr>
            <w:color w:val="0000EE"/>
            <w:u w:val="single"/>
          </w:rPr>
          <w:t>[5]</w:t>
        </w:r>
      </w:hyperlink>
      <w:r>
        <w:t xml:space="preserve">- Paragraph 8: </w:t>
      </w:r>
      <w:hyperlink r:id="rId14">
        <w:r>
          <w:rPr>
            <w:color w:val="0000EE"/>
            <w:u w:val="single"/>
          </w:rPr>
          <w:t>[6]</w:t>
        </w:r>
      </w:hyperlink>
      <w:r>
        <w:t xml:space="preserve">, </w:t>
      </w:r>
      <w:hyperlink r:id="rId15">
        <w:r>
          <w:rPr>
            <w:color w:val="0000EE"/>
            <w:u w:val="single"/>
          </w:rPr>
          <w:t>[7]</w:t>
        </w:r>
      </w:hyperlink>
      <w:r>
        <w:t xml:space="preserve">- Paragraph 9: </w:t>
      </w:r>
      <w:hyperlink r:id="rId12">
        <w:r>
          <w:rPr>
            <w:color w:val="0000EE"/>
            <w:u w:val="single"/>
          </w:rPr>
          <w:t>[4]</w:t>
        </w:r>
      </w:hyperlink>
      <w:r>
        <w:t xml:space="preserve">, </w:t>
      </w:r>
      <w:hyperlink r:id="rId13">
        <w:r>
          <w:rPr>
            <w:color w:val="0000EE"/>
            <w:u w:val="single"/>
          </w:rPr>
          <w:t>[5]</w:t>
        </w:r>
      </w:hyperlink>
      <w:r>
        <w:t xml:space="preserve">- Paragraph 10: </w:t>
      </w:r>
      <w:hyperlink r:id="rId10">
        <w:r>
          <w:rPr>
            <w:color w:val="0000EE"/>
            <w:u w:val="single"/>
          </w:rPr>
          <w:t>[2]</w:t>
        </w:r>
      </w:hyperlink>
      <w:r>
        <w:t xml:space="preserve">, </w:t>
      </w:r>
      <w:hyperlink r:id="rId11">
        <w:r>
          <w:rPr>
            <w:color w:val="0000EE"/>
            <w:u w:val="single"/>
          </w:rPr>
          <w:t>[3]</w:t>
        </w:r>
      </w:hyperlink>
      <w:r>
        <w:t xml:space="preserve">- Paragraph 11: </w:t>
      </w:r>
      <w:hyperlink r:id="rId12">
        <w:r>
          <w:rPr>
            <w:color w:val="0000EE"/>
            <w:u w:val="single"/>
          </w:rPr>
          <w:t>[4]</w:t>
        </w:r>
      </w:hyperlink>
      <w:r>
        <w:t xml:space="preserve">, </w:t>
      </w:r>
      <w:hyperlink r:id="rId14">
        <w:r>
          <w:rPr>
            <w:color w:val="0000EE"/>
            <w:u w:val="single"/>
          </w:rPr>
          <w:t>[6]</w:t>
        </w:r>
      </w:hyperlink>
      <w:r>
        <w:t xml:space="preserve">- Paragraph 12: </w:t>
      </w:r>
      <w:hyperlink r:id="rId13">
        <w:r>
          <w:rPr>
            <w:color w:val="0000EE"/>
            <w:u w:val="single"/>
          </w:rPr>
          <w:t>[5]</w:t>
        </w:r>
      </w:hyperlink>
      <w:r>
        <w:t xml:space="preserve">, </w:t>
      </w:r>
      <w:hyperlink r:id="rId15">
        <w:r>
          <w:rPr>
            <w:color w:val="0000EE"/>
            <w:u w:val="single"/>
          </w:rPr>
          <w:t>[7]</w:t>
        </w:r>
      </w:hyperlink>
      <w:r>
        <w:t xml:space="preserve">- Paragraph 13: </w:t>
      </w:r>
      <w:hyperlink r:id="rId10">
        <w:r>
          <w:rPr>
            <w:color w:val="0000EE"/>
            <w:u w:val="single"/>
          </w:rPr>
          <w:t>[2]</w:t>
        </w:r>
      </w:hyperlink>
      <w:r>
        <w:t xml:space="preserve">, </w:t>
      </w:r>
      <w:hyperlink r:id="rId11">
        <w:r>
          <w:rPr>
            <w:color w:val="0000EE"/>
            <w:u w:val="single"/>
          </w:rPr>
          <w:t>[3]</w:t>
        </w:r>
      </w:hyperlink>
      <w:r>
        <w:t xml:space="preserve">- Paragraph 14: </w:t>
      </w:r>
      <w:hyperlink r:id="rId12">
        <w:r>
          <w:rPr>
            <w:color w:val="0000EE"/>
            <w:u w:val="single"/>
          </w:rPr>
          <w:t>[4]</w:t>
        </w:r>
      </w:hyperlink>
      <w:r>
        <w:t xml:space="preserve">, </w:t>
      </w:r>
      <w:hyperlink r:id="rId13">
        <w:r>
          <w:rPr>
            <w:color w:val="0000EE"/>
            <w:u w:val="single"/>
          </w:rPr>
          <w:t>[5]</w:t>
        </w:r>
      </w:hyperlink>
      <w:r>
        <w:t xml:space="preserve">- Paragraph 15: </w:t>
      </w:r>
      <w:hyperlink r:id="rId14">
        <w:r>
          <w:rPr>
            <w:color w:val="0000EE"/>
            <w:u w:val="single"/>
          </w:rPr>
          <w:t>[6]</w:t>
        </w:r>
      </w:hyperlink>
      <w:r>
        <w:t xml:space="preserve">, </w:t>
      </w:r>
      <w:hyperlink r:id="rId15">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https://medicalxpress.com/news/2026-10-mental-health-disparities-persist-lgbtq.html</w:t>
        </w:r>
      </w:hyperlink>
      <w:r>
        <w:t xml:space="preserve"> - Please view link - unable to able to access data</w:t>
      </w:r>
      <w:r/>
    </w:p>
    <w:p>
      <w:pPr>
        <w:pStyle w:val="ListNumber"/>
        <w:spacing w:line="240" w:lineRule="auto"/>
        <w:ind w:left="720"/>
      </w:pPr>
      <w:r/>
      <w:hyperlink r:id="rId10">
        <w:r>
          <w:rPr>
            <w:color w:val="0000EE"/>
            <w:u w:val="single"/>
          </w:rPr>
          <w:t>https://www.lifescience.net/publications/2266134/lgbtq-college-students-exposure-to-discrimination-/</w:t>
        </w:r>
      </w:hyperlink>
      <w:r>
        <w:t xml:space="preserve"> - This article discusses a study published in the journal Behavioral Medicine, which examined the impact of discrimination on LGBTQ+ college students' mental health and healthcare utilisation. The study found that one in ten LGBTQ+ students experienced discrimination on campus, leading to significantly higher rates of depression, anxiety, and suicidal thoughts. Additionally, students who faced healthcare or service denial due to their sexual orientation or gender identity were more than twice as likely to experience suicidal ideation. The study underscores the need for colleges to address discrimination to support student well-being and reduce mental health disparities.</w:t>
      </w:r>
      <w:r/>
    </w:p>
    <w:p>
      <w:pPr>
        <w:pStyle w:val="ListNumber"/>
        <w:spacing w:line="240" w:lineRule="auto"/>
        <w:ind w:left="720"/>
      </w:pPr>
      <w:r/>
      <w:hyperlink r:id="rId11">
        <w:r>
          <w:rPr>
            <w:color w:val="0000EE"/>
            <w:u w:val="single"/>
          </w:rPr>
          <w:t>https://www.miragenews.com/lgbtq-college-students-face-persistent-mental-1765847/</w:t>
        </w:r>
      </w:hyperlink>
      <w:r>
        <w:t xml:space="preserve"> - This article reports on a national study by Columbia University's Mailman School of Public Health, Boston University School of Public Health, and Harvard Pilgrim Health Care Institute, which found that LGBTQ+ college students who experience discrimination are significantly more likely to suffer from depression, anxiety, and suicidal thoughts, and to avoid necessary healthcare. The study, based on nearly 18,000 LGBTQ+ students across 34 states, highlights the profound impact of discrimination on student mental health during a critical stage of life.</w:t>
      </w:r>
      <w:r/>
    </w:p>
    <w:p>
      <w:pPr>
        <w:pStyle w:val="ListNumber"/>
        <w:spacing w:line="240" w:lineRule="auto"/>
        <w:ind w:left="720"/>
      </w:pPr>
      <w:r/>
      <w:hyperlink r:id="rId12">
        <w:r>
          <w:rPr>
            <w:color w:val="0000EE"/>
            <w:u w:val="single"/>
          </w:rPr>
          <w:t>https://www.ncbi.nlm.nih.gov/pmc/articles/PMC12169056/pdf/nihms-2011287.pdf</w:t>
        </w:r>
      </w:hyperlink>
      <w:r>
        <w:t xml:space="preserve"> - This study, published in the Journal of American College Health, investigates the association between proposed anti-LGBTQ+ legislation and depressive symptoms among LGBTQ+ college students. The research found that exposure to such legislation was associated with increased depressive symptoms, highlighting the impact of political climate on the mental health of LGBTQ+ students. The study underscores the importance of supportive environments and policies to promote mental well-being among this population.</w:t>
      </w:r>
      <w:r/>
    </w:p>
    <w:p>
      <w:pPr>
        <w:pStyle w:val="ListNumber"/>
        <w:spacing w:line="240" w:lineRule="auto"/>
        <w:ind w:left="720"/>
      </w:pPr>
      <w:r/>
      <w:hyperlink r:id="rId13">
        <w:r>
          <w:rPr>
            <w:color w:val="0000EE"/>
            <w:u w:val="single"/>
          </w:rPr>
          <w:t>https://www.mdpi.com/2076-0760/14/4/231</w:t>
        </w:r>
      </w:hyperlink>
      <w:r>
        <w:t xml:space="preserve"> - This study, published in the journal Social Sciences, examines mental health, resilience, and well-being among sexual minority college students. Framed by the Minority Stress and Minority Resilience Models, the research highlights the challenges faced by sexual minority students, including higher rates of mental health issues compared to their heterosexual peers. The study emphasizes the need for supportive interventions and environments to enhance resilience and well-being among sexual minority students.</w:t>
      </w:r>
      <w:r/>
    </w:p>
    <w:p>
      <w:pPr>
        <w:pStyle w:val="ListNumber"/>
        <w:spacing w:line="240" w:lineRule="auto"/>
        <w:ind w:left="720"/>
      </w:pPr>
      <w:r/>
      <w:hyperlink r:id="rId14">
        <w:r>
          <w:rPr>
            <w:color w:val="0000EE"/>
            <w:u w:val="single"/>
          </w:rPr>
          <w:t>https://www.ncbi.nlm.nih.gov/pmc/articles/PMC12068959/</w:t>
        </w:r>
      </w:hyperlink>
      <w:r>
        <w:t xml:space="preserve"> - This study, published in the journal JAMA Psychiatry, investigates mental disorders and sexual orientation among college students across 13 countries with varying levels of LGBTQ+ acceptance. The research found that sexual minority students had higher rates of mental disorders compared to their heterosexual peers, with variations based on gender and country-level acceptance. The study underscores the global disparities in mental health among sexual minority students and the influence of societal acceptance on mental health outcomes.</w:t>
      </w:r>
      <w:r/>
    </w:p>
    <w:p>
      <w:pPr>
        <w:pStyle w:val="ListNumber"/>
        <w:spacing w:line="240" w:lineRule="auto"/>
        <w:ind w:left="720"/>
      </w:pPr>
      <w:r/>
      <w:hyperlink r:id="rId15">
        <w:r>
          <w:rPr>
            <w:color w:val="0000EE"/>
            <w:u w:val="single"/>
          </w:rPr>
          <w:t>https://pubmed.ncbi.nlm.nih.gov/35561881/</w:t>
        </w:r>
      </w:hyperlink>
      <w:r>
        <w:t xml:space="preserve"> - This study, published in the journal JAMA Psychiatry, examines the association between perceived discrimination and mental health among U.S. college students. The research found that students who experienced discrimination had a 37% increase in the number of mental health symptoms and a 94% increase in the number of mental health diagnoses compared to non-discriminated students. The study highlights the significant impact of discrimination on mental health and the need for interventions to reduce discrimination and support student well-being.</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medicalxpress.com/news/2026-10-mental-health-disparities-persist-lgbtq.html" TargetMode="External"/><Relationship Id="rId10" Type="http://schemas.openxmlformats.org/officeDocument/2006/relationships/hyperlink" Target="https://www.lifescience.net/publications/2266134/lgbtq-college-students-exposure-to-discrimination-/" TargetMode="External"/><Relationship Id="rId11" Type="http://schemas.openxmlformats.org/officeDocument/2006/relationships/hyperlink" Target="https://www.miragenews.com/lgbtq-college-students-face-persistent-mental-1765847/" TargetMode="External"/><Relationship Id="rId12" Type="http://schemas.openxmlformats.org/officeDocument/2006/relationships/hyperlink" Target="https://www.ncbi.nlm.nih.gov/pmc/articles/PMC12169056/pdf/nihms-2011287.pdf" TargetMode="External"/><Relationship Id="rId13" Type="http://schemas.openxmlformats.org/officeDocument/2006/relationships/hyperlink" Target="https://www.mdpi.com/2076-0760/14/4/231" TargetMode="External"/><Relationship Id="rId14" Type="http://schemas.openxmlformats.org/officeDocument/2006/relationships/hyperlink" Target="https://www.ncbi.nlm.nih.gov/pmc/articles/PMC12068959/" TargetMode="External"/><Relationship Id="rId15" Type="http://schemas.openxmlformats.org/officeDocument/2006/relationships/hyperlink" Target="https://pubmed.ncbi.nlm.nih.gov/35561881/"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