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Workplace Allyship Practices for Inclusive Teams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Workplaces are rethinking what meaningful allyship looks like, from funding representation-focused events to recognising AI skills without sidelining experience. The latest guidance also urges employers to make pronoun sharing optional and tackle outdated systems that exclude people, offering practical ways for teams to build inclusion into everyday decisions.</w:t>
      </w:r>
      <w:r/>
    </w:p>
    <w:p>
      <w:pPr>
        <w:pStyle w:val="Heading2"/>
      </w:pPr>
      <w:r>
        <w:t>Essential Takeaways</w:t>
      </w:r>
      <w:r/>
      <w:r/>
    </w:p>
    <w:p>
      <w:pPr>
        <w:pStyle w:val="ListBullet"/>
        <w:spacing w:line="240" w:lineRule="auto"/>
        <w:ind w:left="720"/>
      </w:pPr>
      <w:r/>
      <w:r>
        <w:rPr>
          <w:b/>
        </w:rPr>
        <w:t>Fund representation:</w:t>
      </w:r>
      <w:r>
        <w:t xml:space="preserve"> Sponsoring professional events can help keep opportunities for under-represented groups alive.</w:t>
      </w:r>
      <w:r/>
    </w:p>
    <w:p>
      <w:pPr>
        <w:pStyle w:val="ListBullet"/>
        <w:spacing w:line="240" w:lineRule="auto"/>
        <w:ind w:left="720"/>
      </w:pPr>
      <w:r/>
      <w:r>
        <w:rPr>
          <w:b/>
        </w:rPr>
        <w:t>Value every generation:</w:t>
      </w:r>
      <w:r>
        <w:t xml:space="preserve"> AI confidence matters, but so do judgement, experience and institutional knowledge.</w:t>
      </w:r>
      <w:r/>
    </w:p>
    <w:p>
      <w:pPr>
        <w:pStyle w:val="ListBullet"/>
        <w:spacing w:line="240" w:lineRule="auto"/>
        <w:ind w:left="720"/>
      </w:pPr>
      <w:r/>
      <w:r>
        <w:rPr>
          <w:b/>
        </w:rPr>
        <w:t>Make pronouns optional:</w:t>
      </w:r>
      <w:r>
        <w:t xml:space="preserve"> People should be able to share pronouns without being pressured.</w:t>
      </w:r>
      <w:r/>
    </w:p>
    <w:p>
      <w:pPr>
        <w:pStyle w:val="ListBullet"/>
        <w:spacing w:line="240" w:lineRule="auto"/>
        <w:ind w:left="720"/>
      </w:pPr>
      <w:r/>
      <w:r>
        <w:rPr>
          <w:b/>
        </w:rPr>
        <w:t>Challenge old systems:</w:t>
      </w:r>
      <w:r>
        <w:t xml:space="preserve"> Inclusive change may involve correcting forms, records, listings and workplace habits.</w:t>
      </w:r>
      <w:r/>
    </w:p>
    <w:p>
      <w:pPr>
        <w:pStyle w:val="ListBullet"/>
        <w:spacing w:line="240" w:lineRule="auto"/>
        <w:ind w:left="720"/>
      </w:pPr>
      <w:r/>
      <w:r>
        <w:rPr>
          <w:b/>
        </w:rPr>
        <w:t>Look beyond statements:</w:t>
      </w:r>
      <w:r>
        <w:t xml:space="preserve"> Allyship is most convincing when it affects budgets, promotions and recognition.</w:t>
      </w:r>
      <w:r/>
      <w:r/>
    </w:p>
    <w:p>
      <w:pPr>
        <w:pStyle w:val="Heading2"/>
      </w:pPr>
      <w:r>
        <w:t>Allyship needs money, not just good intentions</w:t>
      </w:r>
      <w:r/>
    </w:p>
    <w:p>
      <w:r/>
      <w:r>
        <w:t>Inclusion programmes can sound impressive on paper, but they need practical support to survive. When companies reduce sponsorship for events focused on representation, the impact is felt quickly through fewer networking opportunities, less visibility and a narrower pipeline of talent.</w:t>
      </w:r>
      <w:r/>
    </w:p>
    <w:p>
      <w:r/>
      <w:r>
        <w:t>Professional sponsorship is one straightforward way to help. Industry organisations commonly use corporate backing to fund conferences, scholarships and community programmes, while sponsors gain access to new audiences and future recruits. The key question for employees is simple: has your organisation reduced this support, and if so, why?</w:t>
      </w:r>
      <w:r/>
    </w:p>
    <w:p>
      <w:r/>
      <w:r>
        <w:t xml:space="preserve">That conversation doesn't need to be confrontational. Ask what has changed, which events are still being funded and how leaders measure the value of representation. Sponsorship should be treated as part of an organisation's talent strategy, not a decorative line in a marketing budget. Industry groups such as BESLA show how structured sponsorship can support professional communities and widen participation. </w:t>
      </w:r>
      <w:hyperlink r:id="rId9">
        <w:r>
          <w:rPr>
            <w:color w:val="0000EE"/>
            <w:u w:val="single"/>
          </w:rPr>
          <w:t>[6]</w:t>
        </w:r>
      </w:hyperlink>
      <w:r>
        <w:t xml:space="preserve">, </w:t>
      </w:r>
      <w:hyperlink r:id="rId10">
        <w:r>
          <w:rPr>
            <w:color w:val="0000EE"/>
            <w:u w:val="single"/>
          </w:rPr>
          <w:t>[7]</w:t>
        </w:r>
      </w:hyperlink>
      <w:r/>
    </w:p>
    <w:p>
      <w:pPr>
        <w:pStyle w:val="Heading2"/>
      </w:pPr>
      <w:r>
        <w:t>AI skills shouldn't become an age test</w:t>
      </w:r>
      <w:r/>
    </w:p>
    <w:p>
      <w:r/>
      <w:r>
        <w:t>The rush to prepare workers for artificial intelligence has created a new risk: treating younger employees as natural AI experts and older colleagues as reluctant learners. That's an easy assumption, but it's a lazy one.</w:t>
      </w:r>
      <w:r/>
    </w:p>
    <w:p>
      <w:r/>
      <w:r>
        <w:t xml:space="preserve">Companies that pair early-career workers with more experienced colleagues can gain both technical confidence and sound judgement. Forbes Business Development Council contributors have argued that businesses using AI effectively are combining the strengths of younger and mature workers, rather than turning age into a proxy for digital ability. </w:t>
      </w:r>
      <w:hyperlink r:id="rId11">
        <w:r>
          <w:rPr>
            <w:color w:val="0000EE"/>
            <w:u w:val="single"/>
          </w:rPr>
          <w:t>[3]</w:t>
        </w:r>
      </w:hyperlink>
      <w:r/>
    </w:p>
    <w:p>
      <w:r/>
      <w:r>
        <w:t xml:space="preserve">The wider workforce also needs this balance. The OECD's 2026 Skills Summit places emphasis on harnessing adults' skills and empowering workers across generations, while research from S&amp;P Global warns that older workers leaving employment could create difficulties for businesses planning their AI strategies. </w:t>
      </w:r>
      <w:hyperlink r:id="rId12">
        <w:r>
          <w:rPr>
            <w:color w:val="0000EE"/>
            <w:u w:val="single"/>
          </w:rPr>
          <w:t>[4]</w:t>
        </w:r>
      </w:hyperlink>
      <w:r>
        <w:t xml:space="preserve">, </w:t>
      </w:r>
      <w:hyperlink r:id="rId13">
        <w:r>
          <w:rPr>
            <w:color w:val="0000EE"/>
            <w:u w:val="single"/>
          </w:rPr>
          <w:t>[5]</w:t>
        </w:r>
      </w:hyperlink>
      <w:r/>
    </w:p>
    <w:p>
      <w:r/>
      <w:r>
        <w:t>So review who gets praised for innovation. Are younger workers being recognised for experimentation while older colleagues' knowledge goes unnoticed? Promotion panels, awards and everyday compliments should acknowledge both. AI fluency is useful, but so are context, judgement and the ability to spot when a clever tool is producing a poor answer.</w:t>
      </w:r>
      <w:r/>
    </w:p>
    <w:p>
      <w:pPr>
        <w:pStyle w:val="Heading2"/>
      </w:pPr>
      <w:r>
        <w:t>What does genuine intergenerational collaboration look like?</w:t>
      </w:r>
      <w:r/>
    </w:p>
    <w:p>
      <w:r/>
      <w:r>
        <w:t>It starts with mixed teams where people aren't quietly assigned roles based on age. A younger employee might know how to automate a repetitive task, while a seasoned colleague understands the customer history, regulatory pitfalls or political sensitivities that software can't see.</w:t>
      </w:r>
      <w:r/>
    </w:p>
    <w:p>
      <w:r/>
      <w:r>
        <w:t xml:space="preserve">That combination is especially valuable as employers redesign roles around AI. AARP's Employer Alliance reflects growing interest in retaining and recruiting experienced workers, rather than treating later-career talent as an afterthought. </w:t>
      </w:r>
      <w:hyperlink r:id="rId14">
        <w:r>
          <w:rPr>
            <w:color w:val="0000EE"/>
            <w:u w:val="single"/>
          </w:rPr>
          <w:t>[2]</w:t>
        </w:r>
      </w:hyperlink>
      <w:r/>
    </w:p>
    <w:p>
      <w:r/>
      <w:r>
        <w:t>Managers can make the shift visible by sharing credit, rotating meeting leadership and inviting different forms of expertise. They should also examine whose recommendations carry weight when promotions, bonuses and high-profile projects are decided. A workplace becomes more resilient when people learn from one another instead of competing over who appears most future-ready.</w:t>
      </w:r>
      <w:r/>
    </w:p>
    <w:p>
      <w:pPr>
        <w:pStyle w:val="Heading2"/>
      </w:pPr>
      <w:r>
        <w:t>Pronoun sharing should welcome, never pressure</w:t>
      </w:r>
      <w:r/>
    </w:p>
    <w:p>
      <w:r/>
      <w:r>
        <w:t>Pronoun visibility can help create a more inclusive workplace, but mandatory disclosure can have the opposite effect. Someone may be questioning, gender-fluid, not ready to share or simply uncomfortable making a personal detail public at work.</w:t>
      </w:r>
      <w:r/>
    </w:p>
    <w:p>
      <w:r/>
      <w:r>
        <w:t>The practical answer is to make sharing available rather than compulsory. Forms, name badges and event registration systems can include an optional field, while meeting organisers can avoid putting people on the spot during introductions. If a person's pronouns aren't known, using their name is a respectful alternative.</w:t>
      </w:r>
      <w:r/>
    </w:p>
    <w:p>
      <w:r/>
      <w:r>
        <w:t>This approach also makes inclusion feel less performative. People can share if they wish, and colleagues receive a clear signal that different identities are welcome without being asked to prove anything. The small wording choice matters because trust is often built through low-key, everyday details.</w:t>
      </w:r>
      <w:r/>
    </w:p>
    <w:p>
      <w:pPr>
        <w:pStyle w:val="Heading2"/>
      </w:pPr>
      <w:r>
        <w:t>The unglamorous work is often the most important</w:t>
      </w:r>
      <w:r/>
    </w:p>
    <w:p>
      <w:r/>
      <w:r>
        <w:t>Some of the strongest allyship happens far away from conference stages and corporate announcements. It can mean finding an outdated name in a database, correcting a property record, contacting several officials or asking a website owner to remove language that no longer reflects an inclusive community.</w:t>
      </w:r>
      <w:r/>
    </w:p>
    <w:p>
      <w:r/>
      <w:r>
        <w:t>That kind of work is slow, repetitive and not especially glamorous. It also has lasting effects. Digital records, forms and listings shape how people encounter a workplace, neighbourhood or institution, so leaving harmful language in place can quietly undermine more visible inclusion efforts.</w:t>
      </w:r>
      <w:r/>
    </w:p>
    <w:p>
      <w:r/>
      <w:r>
        <w:t>Employers should apply the same thinking internally. Audit old templates, intranet pages, job descriptions, supplier records and automated systems. If a term excludes people or carries a damaging legacy, don't assume someone else will fix it. A more inclusive culture is usually built through dozens of small corrections, followed by the occasional bigger decision.</w:t>
      </w:r>
      <w:r/>
    </w:p>
    <w:p>
      <w:r/>
      <w:r>
        <w:t>Allyship is not a one-off campaign. It's a habit of noticing who is missing, who is being overlooked and which systems keep producing the same result. That may require persistence, but the payoff is a workplace where inclusion feels practical rather than rehearsed.</w:t>
      </w:r>
      <w:r/>
    </w:p>
    <w:p>
      <w:r/>
      <w:r>
        <w:t>It's the everyday choices that turn allyship from a statement into a workplace norm.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Paragraph 5: </w:t>
      </w:r>
      <w:hyperlink r:id="rId14">
        <w:r>
          <w:rPr>
            <w:color w:val="0000EE"/>
            <w:u w:val="single"/>
          </w:rPr>
          <w:t>[2]</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Paragraph 8: </w:t>
      </w:r>
      <w:hyperlink r:id="rId14">
        <w:r>
          <w:rPr>
            <w:color w:val="0000EE"/>
            <w:u w:val="single"/>
          </w:rPr>
          <w:t>[2]</w:t>
        </w:r>
      </w:hyperlink>
      <w:r>
        <w:t xml:space="preserve">- Paragraph 9: </w:t>
      </w:r>
      <w:hyperlink r:id="rId14">
        <w:r>
          <w:rPr>
            <w:color w:val="0000EE"/>
            <w:u w:val="single"/>
          </w:rPr>
          <w:t>[2]</w:t>
        </w:r>
      </w:hyperlink>
      <w:r>
        <w:t xml:space="preserve">- Paragraph 10: </w:t>
      </w:r>
      <w:hyperlink r:id="rId12">
        <w:r>
          <w:rPr>
            <w:color w:val="0000EE"/>
            <w:u w:val="single"/>
          </w:rPr>
          <w:t>[4]</w:t>
        </w:r>
      </w:hyperlink>
      <w:r>
        <w:t xml:space="preserve">- Paragraph 11: </w:t>
      </w:r>
      <w:hyperlink r:id="rId11">
        <w:r>
          <w:rPr>
            <w:color w:val="0000EE"/>
            <w:u w:val="single"/>
          </w:rPr>
          <w:t>[3]</w:t>
        </w:r>
      </w:hyperlink>
      <w:r>
        <w:t xml:space="preserve">- Paragraph 12: </w:t>
      </w:r>
      <w:hyperlink r:id="rId14">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Paragraph 14: </w:t>
      </w:r>
      <w:hyperlink r:id="rId9">
        <w:r>
          <w:rPr>
            <w:color w:val="0000EE"/>
            <w:u w:val="single"/>
          </w:rPr>
          <w:t>[6]</w:t>
        </w:r>
      </w:hyperlink>
      <w:r>
        <w:t xml:space="preserve">, </w:t>
      </w:r>
      <w:hyperlink r:id="rId10">
        <w:r>
          <w:rPr>
            <w:color w:val="0000EE"/>
            <w:u w:val="single"/>
          </w:rPr>
          <w:t>[7]</w:t>
        </w:r>
      </w:hyperlink>
      <w:r>
        <w:t xml:space="preserve">- Paragraph 15: </w:t>
      </w:r>
      <w:hyperlink r:id="rId14">
        <w:r>
          <w:rPr>
            <w:color w:val="0000EE"/>
            <w:u w:val="single"/>
          </w:rPr>
          <w:t>[2]</w:t>
        </w:r>
      </w:hyperlink>
      <w:r>
        <w:t xml:space="preserve">, </w:t>
      </w:r>
      <w:hyperlink r:id="rId13">
        <w:r>
          <w:rPr>
            <w:color w:val="0000EE"/>
            <w:u w:val="single"/>
          </w:rPr>
          <w:t>[5]</w:t>
        </w:r>
      </w:hyperlink>
      <w:r>
        <w:t xml:space="preserve">- Paragraph 16: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https://code.likeagirl.io/give-someone-a-platform-to-share-their-expertise-and-other-actions-for-allies-53806fd2e61b?gi=93fbef35777f&amp;source=rss----811ec52eb09a---4</w:t>
        </w:r>
      </w:hyperlink>
      <w:r>
        <w:t xml:space="preserve"> - Please view link - unable to able to access data</w:t>
      </w:r>
      <w:r/>
    </w:p>
    <w:p>
      <w:pPr>
        <w:pStyle w:val="ListNumber"/>
        <w:spacing w:line="240" w:lineRule="auto"/>
        <w:ind w:left="720"/>
      </w:pPr>
      <w:r/>
      <w:hyperlink r:id="rId14">
        <w:r>
          <w:rPr>
            <w:color w:val="0000EE"/>
            <w:u w:val="single"/>
          </w:rPr>
          <w:t>https://www.aarp.org/work/careers/new-aarp-employer-alliance.html</w:t>
        </w:r>
      </w:hyperlink>
      <w:r>
        <w:t xml:space="preserve"> - The AARP Employer Alliance, launched in March 2026, assists businesses in recognising the value of older workers in a multigenerational workplace. The programme aims to help companies build opportunities for workers of all ages, addressing concerns about age discrimination and promoting inclusivity in the workforce.</w:t>
      </w:r>
      <w:r/>
    </w:p>
    <w:p>
      <w:pPr>
        <w:pStyle w:val="ListNumber"/>
        <w:spacing w:line="240" w:lineRule="auto"/>
        <w:ind w:left="720"/>
      </w:pPr>
      <w:r/>
      <w:hyperlink r:id="rId11">
        <w:r>
          <w:rPr>
            <w:color w:val="0000EE"/>
            <w:u w:val="single"/>
          </w:rPr>
          <w:t>https://tollbit.forbes.com/councils/forbesbusinessdevelopmentcouncil/2026/10/14/the-companies-winning-with-ai-are-pairing-young-and-mature-workers/</w:t>
        </w:r>
      </w:hyperlink>
      <w:r>
        <w:t xml:space="preserve"> - This article discusses how companies are successfully integrating younger and older workers to leverage both technological fluency and experience. It highlights the importance of pairing digital natives with mature workers to enhance decision-making and adaptability in AI-driven environments.</w:t>
      </w:r>
      <w:r/>
    </w:p>
    <w:p>
      <w:pPr>
        <w:pStyle w:val="ListNumber"/>
        <w:spacing w:line="240" w:lineRule="auto"/>
        <w:ind w:left="720"/>
      </w:pPr>
      <w:r/>
      <w:hyperlink r:id="rId12">
        <w:r>
          <w:rPr>
            <w:color w:val="0000EE"/>
            <w:u w:val="single"/>
          </w:rPr>
          <w:t>https://www.oecd-events.org/e/oecd-skills-summit-2026/en/session/13a298e1-236e-f011-8dc9-6045bd89b60c/session-2-harnessing-adults-skills-empowering-workers-across-generations</w:t>
        </w:r>
      </w:hyperlink>
      <w:r>
        <w:t xml:space="preserve"> - A session at the OECD Skills Summit 2026 focused on empowering workers across generations. It emphasised the need for upskilling and reskilling opportunities for adults, particularly older workers, to ensure they remain meaningfully employed and contribute to a multigenerational workforce.</w:t>
      </w:r>
      <w:r/>
    </w:p>
    <w:p>
      <w:pPr>
        <w:pStyle w:val="ListNumber"/>
        <w:spacing w:line="240" w:lineRule="auto"/>
        <w:ind w:left="720"/>
      </w:pPr>
      <w:r/>
      <w:hyperlink r:id="rId13">
        <w:r>
          <w:rPr>
            <w:color w:val="0000EE"/>
            <w:u w:val="single"/>
          </w:rPr>
          <w:t>https://www.spglobal.com/market-intelligence/en/news-insights/articles/2026/8/older-americans-leaving-workforce-poses-challenges-for-ai-plans-105150367?trk=article-ssr-frontend-pulse_little-text-block</w:t>
        </w:r>
      </w:hyperlink>
      <w:r>
        <w:t xml:space="preserve"> - This article examines the challenges posed by older Americans leaving the workforce, particularly in relation to AI plans. It discusses the impact of the 'Boomer Brain Drain' on businesses and the importance of retaining experienced workers to maintain skill and knowledge transfer.</w:t>
      </w:r>
      <w:r/>
    </w:p>
    <w:p>
      <w:pPr>
        <w:pStyle w:val="ListNumber"/>
        <w:spacing w:line="240" w:lineRule="auto"/>
        <w:ind w:left="720"/>
      </w:pPr>
      <w:r/>
      <w:hyperlink r:id="rId9">
        <w:r>
          <w:rPr>
            <w:color w:val="0000EE"/>
            <w:u w:val="single"/>
          </w:rPr>
          <w:t>https://balif.org/gala/?trk=public_post_reshare-text</w:t>
        </w:r>
      </w:hyperlink>
      <w:r>
        <w:t xml:space="preserve"> - The 2026 BALIF Gala is an event supporting the nation’s oldest and largest LGBTQI+ Bar Association. Sponsorship of this event contributes to advocacy, justice, community empowerment, and professional development for LGBTQI+ legal professionals and allies.</w:t>
      </w:r>
      <w:r/>
    </w:p>
    <w:p>
      <w:pPr>
        <w:pStyle w:val="ListNumber"/>
        <w:spacing w:line="240" w:lineRule="auto"/>
        <w:ind w:left="720"/>
      </w:pPr>
      <w:r/>
      <w:hyperlink r:id="rId10">
        <w:r>
          <w:rPr>
            <w:color w:val="0000EE"/>
            <w:u w:val="single"/>
          </w:rPr>
          <w:t>https://besla.org/sponsorship/</w:t>
        </w:r>
      </w:hyperlink>
      <w:r>
        <w:t xml:space="preserve"> - The Black Entertainment and Sports Lawyers Association (BESLA) offers sponsorship opportunities for its 2026 Annual Conference. Sponsors contribute to advancing excellence in entertainment, sports, and business, demonstrating a commitment to fostering a more inclusive professional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lif.org/gala/?trk=public_post_reshare-text" TargetMode="External"/><Relationship Id="rId10" Type="http://schemas.openxmlformats.org/officeDocument/2006/relationships/hyperlink" Target="https://besla.org/sponsorship/" TargetMode="External"/><Relationship Id="rId11" Type="http://schemas.openxmlformats.org/officeDocument/2006/relationships/hyperlink" Target="https://tollbit.forbes.com/councils/forbesbusinessdevelopmentcouncil/2026/10/14/the-companies-winning-with-ai-are-pairing-young-and-mature-workers/" TargetMode="External"/><Relationship Id="rId12" Type="http://schemas.openxmlformats.org/officeDocument/2006/relationships/hyperlink" Target="https://www.oecd-events.org/e/oecd-skills-summit-2026/en/session/13a298e1-236e-f011-8dc9-6045bd89b60c/session-2-harnessing-adults-skills-empowering-workers-across-generations" TargetMode="External"/><Relationship Id="rId13" Type="http://schemas.openxmlformats.org/officeDocument/2006/relationships/hyperlink" Target="https://www.spglobal.com/market-intelligence/en/news-insights/articles/2026/8/older-americans-leaving-workforce-poses-challenges-for-ai-plans-105150367?trk=article-ssr-frontend-pulse_little-text-block" TargetMode="External"/><Relationship Id="rId14" Type="http://schemas.openxmlformats.org/officeDocument/2006/relationships/hyperlink" Target="https://www.aarp.org/work/careers/new-aarp-employer-alliance.html" TargetMode="External"/><Relationship Id="rId15" Type="http://schemas.openxmlformats.org/officeDocument/2006/relationships/hyperlink" Target="https://code.likeagirl.io/give-someone-a-platform-to-share-their-expertise-and-other-actions-for-allies-53806fd2e61b?gi=93fbef35777f&amp;source=rss----811ec52eb09a---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