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Proposed Conversion Therapy Ban Raises Free Speech Concerns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Christian groups are urging ministers to rethink the UK’s proposed conversion therapy ban, arguing that its wording could reach beyond coercive practices and into prayer, pastoral support and family conversations. As the draft legislation faces scrutiny, the debate is intensifying over how to protect people from harm without criminalising ordinary religious expression.</w:t>
      </w:r>
      <w:r/>
    </w:p>
    <w:p>
      <w:pPr>
        <w:pStyle w:val="Heading2"/>
      </w:pPr>
      <w:r>
        <w:t>Essential Takeaways</w:t>
      </w:r>
      <w:r/>
      <w:r/>
    </w:p>
    <w:p>
      <w:pPr>
        <w:pStyle w:val="ListBullet"/>
        <w:spacing w:line="240" w:lineRule="auto"/>
        <w:ind w:left="720"/>
      </w:pPr>
      <w:r/>
      <w:r>
        <w:rPr>
          <w:b/>
        </w:rPr>
        <w:t>Christian organisations have written to ministers:</w:t>
      </w:r>
      <w:r>
        <w:t xml:space="preserve"> They say the draft bill could affect churches, parents and religious leaders.</w:t>
      </w:r>
      <w:r/>
    </w:p>
    <w:p>
      <w:pPr>
        <w:pStyle w:val="ListBullet"/>
        <w:spacing w:line="240" w:lineRule="auto"/>
        <w:ind w:left="720"/>
      </w:pPr>
      <w:r/>
      <w:r>
        <w:rPr>
          <w:b/>
        </w:rPr>
        <w:t>The wording is disputed:</w:t>
      </w:r>
      <w:r>
        <w:t xml:space="preserve"> Critics argue that terms such as “conversion practice” and “abusive” are too broad.</w:t>
      </w:r>
      <w:r/>
    </w:p>
    <w:p>
      <w:pPr>
        <w:pStyle w:val="ListBullet"/>
        <w:spacing w:line="240" w:lineRule="auto"/>
        <w:ind w:left="720"/>
      </w:pPr>
      <w:r/>
      <w:r>
        <w:rPr>
          <w:b/>
        </w:rPr>
        <w:t>Prayer is a central concern:</w:t>
      </w:r>
      <w:r>
        <w:t xml:space="preserve"> Christian campaigners fear some pastoral conversations or prayers could be treated as unlawful.</w:t>
      </w:r>
      <w:r/>
    </w:p>
    <w:p>
      <w:pPr>
        <w:pStyle w:val="ListBullet"/>
        <w:spacing w:line="240" w:lineRule="auto"/>
        <w:ind w:left="720"/>
      </w:pPr>
      <w:r/>
      <w:r>
        <w:rPr>
          <w:b/>
        </w:rPr>
        <w:t>The legislation is still under review:</w:t>
      </w:r>
      <w:r>
        <w:t xml:space="preserve"> Parliament’s pre-legislative scrutiny gives ministers an opportunity to clarify the boundaries.</w:t>
      </w:r>
      <w:r/>
    </w:p>
    <w:p>
      <w:pPr>
        <w:pStyle w:val="ListBullet"/>
        <w:spacing w:line="240" w:lineRule="auto"/>
        <w:ind w:left="720"/>
      </w:pPr>
      <w:r/>
      <w:r>
        <w:rPr>
          <w:b/>
        </w:rPr>
        <w:t>The debate reaches schools and families:</w:t>
      </w:r>
      <w:r>
        <w:t xml:space="preserve"> Supporters and critics disagree over how the rules might affect children, teachers and parental guidance.</w:t>
      </w:r>
      <w:r/>
      <w:r/>
    </w:p>
    <w:p>
      <w:pPr>
        <w:pStyle w:val="Heading2"/>
      </w:pPr>
      <w:r>
        <w:t>Why the proposed conversion therapy ban is causing alarm</w:t>
      </w:r>
      <w:r/>
    </w:p>
    <w:p>
      <w:r/>
      <w:r>
        <w:t xml:space="preserve">The strongest objection from Christian organisations is that the proposed conversion therapy ban may not stop at coercive or abusive conduct. They argue that the draft’s language could also capture spoken advice, prayer and pastoral conversations that have traditionally taken place in churches. The Christian Institute has described the potential reach as unusually broad. </w:t>
      </w:r>
      <w:hyperlink r:id="rId9">
        <w:r>
          <w:rPr>
            <w:color w:val="0000EE"/>
            <w:u w:val="single"/>
          </w:rPr>
          <w:t>[2]</w:t>
        </w:r>
      </w:hyperlink>
      <w:r>
        <w:t xml:space="preserve">, </w:t>
      </w:r>
      <w:hyperlink r:id="rId10">
        <w:r>
          <w:rPr>
            <w:color w:val="0000EE"/>
            <w:u w:val="single"/>
          </w:rPr>
          <w:t>[4]</w:t>
        </w:r>
      </w:hyperlink>
      <w:r/>
    </w:p>
    <w:p>
      <w:r/>
      <w:r>
        <w:t xml:space="preserve">That concern matters because religious support often happens in informal settings rather than behind a counselling-room door. A conversation with a pastor, a prayer meeting or a parent trying to understand a child’s feelings could all become harder to navigate if people aren't sure where lawful guidance ends and criminal conduct begins. </w:t>
      </w:r>
      <w:hyperlink r:id="rId11">
        <w:r>
          <w:rPr>
            <w:color w:val="0000EE"/>
            <w:u w:val="single"/>
          </w:rPr>
          <w:t>[3]</w:t>
        </w:r>
      </w:hyperlink>
      <w:r/>
    </w:p>
    <w:p>
      <w:r/>
      <w:r>
        <w:t xml:space="preserve">The Christian Institute, the Greater Love Declaration and Affinity have therefore written to equalities minister Bridget Phillipson. Their message is straightforward: protections against abuse are necessary, but the bill must make a much clearer distinction between harmful practices and expressions of belief. </w:t>
      </w:r>
      <w:hyperlink r:id="rId9">
        <w:r>
          <w:rPr>
            <w:color w:val="0000EE"/>
            <w:u w:val="single"/>
          </w:rPr>
          <w:t>[2]</w:t>
        </w:r>
      </w:hyperlink>
      <w:r>
        <w:t xml:space="preserve">, </w:t>
      </w:r>
      <w:hyperlink r:id="rId9">
        <w:r>
          <w:rPr>
            <w:color w:val="0000EE"/>
            <w:u w:val="single"/>
          </w:rPr>
          <w:t>[5]</w:t>
        </w:r>
      </w:hyperlink>
      <w:r/>
    </w:p>
    <w:p>
      <w:pPr>
        <w:pStyle w:val="Heading2"/>
      </w:pPr>
      <w:r>
        <w:t>The argument over language is more than semantics</w:t>
      </w:r>
      <w:r/>
    </w:p>
    <w:p>
      <w:r/>
      <w:r>
        <w:t xml:space="preserve">The organisations also object to the term “conversion”, saying it risks confusing different situations. In their view, the word can describe both attempts to change someone’s sexuality or gender identity and a person’s change of religious belief, which are not the same thing. </w:t>
      </w:r>
      <w:hyperlink r:id="rId9">
        <w:r>
          <w:rPr>
            <w:color w:val="0000EE"/>
            <w:u w:val="single"/>
          </w:rPr>
          <w:t>[2]</w:t>
        </w:r>
      </w:hyperlink>
      <w:r/>
    </w:p>
    <w:p>
      <w:r/>
      <w:r>
        <w:t xml:space="preserve">That may sound like a technical point, but legislation lives or dies by definitions. If key terms are vague, people may self-censor simply because they can't tell whether a discussion is permitted. For churches, that uncertainty could affect sermons, prayer and one-to-one pastoral work. </w:t>
      </w:r>
      <w:hyperlink r:id="rId11">
        <w:r>
          <w:rPr>
            <w:color w:val="0000EE"/>
            <w:u w:val="single"/>
          </w:rPr>
          <w:t>[3]</w:t>
        </w:r>
      </w:hyperlink>
      <w:r>
        <w:t xml:space="preserve">, </w:t>
      </w:r>
      <w:hyperlink r:id="rId11">
        <w:r>
          <w:rPr>
            <w:color w:val="0000EE"/>
            <w:u w:val="single"/>
          </w:rPr>
          <w:t>[6]</w:t>
        </w:r>
      </w:hyperlink>
      <w:r/>
    </w:p>
    <w:p>
      <w:r/>
      <w:r>
        <w:t xml:space="preserve">The wider question is whether a law can target coercion precisely without creating a chilling effect around legitimate disagreement. That balance is particularly delicate where deeply held religious beliefs meet questions of identity, family life and personal autonomy. </w:t>
      </w:r>
      <w:hyperlink r:id="rId9">
        <w:r>
          <w:rPr>
            <w:color w:val="0000EE"/>
            <w:u w:val="single"/>
          </w:rPr>
          <w:t>[2]</w:t>
        </w:r>
      </w:hyperlink>
      <w:r>
        <w:t xml:space="preserve">, </w:t>
      </w:r>
      <w:hyperlink r:id="rId9">
        <w:r>
          <w:rPr>
            <w:color w:val="0000EE"/>
            <w:u w:val="single"/>
          </w:rPr>
          <w:t>[5]</w:t>
        </w:r>
      </w:hyperlink>
      <w:r/>
    </w:p>
    <w:p>
      <w:pPr>
        <w:pStyle w:val="Heading2"/>
      </w:pPr>
      <w:r>
        <w:t>Could prayer and pastoral care be caught?</w:t>
      </w:r>
      <w:r/>
    </w:p>
    <w:p>
      <w:r/>
      <w:r>
        <w:t xml:space="preserve">Prayer has become one of the most emotive parts of the discussion. Christian campaigners argue that criminalising prayer, or treating a prayer offered in a pastoral setting as a conversion practice, would protect no one and could undermine religious freedom. </w:t>
      </w:r>
      <w:hyperlink r:id="rId11">
        <w:r>
          <w:rPr>
            <w:color w:val="0000EE"/>
            <w:u w:val="single"/>
          </w:rPr>
          <w:t>[3]</w:t>
        </w:r>
      </w:hyperlink>
      <w:r>
        <w:t xml:space="preserve">, </w:t>
      </w:r>
      <w:hyperlink r:id="rId11">
        <w:r>
          <w:rPr>
            <w:color w:val="0000EE"/>
            <w:u w:val="single"/>
          </w:rPr>
          <w:t>[6]</w:t>
        </w:r>
      </w:hyperlink>
      <w:r/>
    </w:p>
    <w:p>
      <w:r/>
      <w:r>
        <w:t xml:space="preserve">They also worry about ordinary ministry. A minister might listen to someone who is distressed, discuss their beliefs or pray at their request. The organisations challenging the bill say such activity should not be treated in the same way as pressure, threats or manipulation. </w:t>
      </w:r>
      <w:hyperlink r:id="rId9">
        <w:r>
          <w:rPr>
            <w:color w:val="0000EE"/>
            <w:u w:val="single"/>
          </w:rPr>
          <w:t>[2]</w:t>
        </w:r>
      </w:hyperlink>
      <w:r>
        <w:t xml:space="preserve">, </w:t>
      </w:r>
      <w:hyperlink r:id="rId11">
        <w:r>
          <w:rPr>
            <w:color w:val="0000EE"/>
            <w:u w:val="single"/>
          </w:rPr>
          <w:t>[3]</w:t>
        </w:r>
      </w:hyperlink>
      <w:r/>
    </w:p>
    <w:p>
      <w:r/>
      <w:r>
        <w:t>That distinction will be crucial if the legislation progresses. A well-drafted law should give people confidence that seeking support won't automatically expose a pastor, counsellor or family member to criminal investigation. Nobody benefits from a climate where a quiet conversation feels legally radioactive.</w:t>
      </w:r>
      <w:r/>
    </w:p>
    <w:p>
      <w:pPr>
        <w:pStyle w:val="Heading2"/>
      </w:pPr>
      <w:r>
        <w:t>Families and schools are part of the debate too</w:t>
      </w:r>
      <w:r/>
    </w:p>
    <w:p>
      <w:r/>
      <w:r>
        <w:t xml:space="preserve">The proposed rules have raised questions about parents and teachers as well as churches. Christian campaigners say the bill could affect parental guidance, including conversations about a child’s gender identity or decisions about items such as a chest binder. </w:t>
      </w:r>
      <w:hyperlink r:id="rId10">
        <w:r>
          <w:rPr>
            <w:color w:val="0000EE"/>
            <w:u w:val="single"/>
          </w:rPr>
          <w:t>[4]</w:t>
        </w:r>
      </w:hyperlink>
      <w:r>
        <w:t xml:space="preserve">, </w:t>
      </w:r>
      <w:hyperlink r:id="rId10">
        <w:r>
          <w:rPr>
            <w:color w:val="0000EE"/>
            <w:u w:val="single"/>
          </w:rPr>
          <w:t>[7]</w:t>
        </w:r>
      </w:hyperlink>
      <w:r/>
    </w:p>
    <w:p>
      <w:r/>
      <w:r>
        <w:t xml:space="preserve">Schools could face a similarly difficult task. Teachers need to protect pupils from bullying and pressure, while also understanding what they can say when a child seeks advice. Critics of the draft argue that unclear rules could leave staff anxious about offering balanced support or referring pupils to appropriate help. </w:t>
      </w:r>
      <w:hyperlink r:id="rId10">
        <w:r>
          <w:rPr>
            <w:color w:val="0000EE"/>
            <w:u w:val="single"/>
          </w:rPr>
          <w:t>[4]</w:t>
        </w:r>
      </w:hyperlink>
      <w:r/>
    </w:p>
    <w:p>
      <w:r/>
      <w:r>
        <w:t xml:space="preserve">The government’s stated assurances about parental freedom are now being tested against the detail of the draft. That is why scrutiny matters: broad promises are reassuring, but families and professionals need clear wording they can actually follow. </w:t>
      </w:r>
      <w:hyperlink r:id="rId9">
        <w:r>
          <w:rPr>
            <w:color w:val="0000EE"/>
            <w:u w:val="single"/>
          </w:rPr>
          <w:t>[2]</w:t>
        </w:r>
      </w:hyperlink>
      <w:r>
        <w:t xml:space="preserve">, </w:t>
      </w:r>
      <w:hyperlink r:id="rId10">
        <w:r>
          <w:rPr>
            <w:color w:val="0000EE"/>
            <w:u w:val="single"/>
          </w:rPr>
          <w:t>[4]</w:t>
        </w:r>
      </w:hyperlink>
      <w:r/>
    </w:p>
    <w:p>
      <w:pPr>
        <w:pStyle w:val="Heading2"/>
      </w:pPr>
      <w:r>
        <w:t>What happens next?</w:t>
      </w:r>
      <w:r/>
    </w:p>
    <w:p>
      <w:r/>
      <w:r>
        <w:t xml:space="preserve">The bill is currently undergoing pre-legislative scrutiny, giving ministers time to listen to concerns and refine its definitions. Christian groups are calling for the word “conversion” to be reconsidered and for explicit safeguards covering prayer, religious teaching, pastoral care and family discussion. </w:t>
      </w:r>
      <w:hyperlink r:id="rId9">
        <w:r>
          <w:rPr>
            <w:color w:val="0000EE"/>
            <w:u w:val="single"/>
          </w:rPr>
          <w:t>[2]</w:t>
        </w:r>
      </w:hyperlink>
      <w:r>
        <w:t xml:space="preserve">, </w:t>
      </w:r>
      <w:hyperlink r:id="rId9">
        <w:r>
          <w:rPr>
            <w:color w:val="0000EE"/>
            <w:u w:val="single"/>
          </w:rPr>
          <w:t>[5]</w:t>
        </w:r>
      </w:hyperlink>
      <w:r/>
    </w:p>
    <w:p>
      <w:r/>
      <w:r>
        <w:t>The government faces a difficult communications challenge as well as a legal one. Any legislation must show that it can confront coercive abuse firmly, while explaining why ordinary religious expression and compassionate support remain protected. If that line isn't visible, controversy will continue long before any final vote.</w:t>
      </w:r>
      <w:r/>
    </w:p>
    <w:p>
      <w:r/>
      <w:r>
        <w:t xml:space="preserve">For readers, the practical lesson is simple: the argument isn't about whether abuse should be stopped. It's about how narrowly and clearly the law should be written, so that protection doesn't come at the cost of free expression, family trust or pastoral care. </w:t>
      </w:r>
      <w:hyperlink r:id="rId11">
        <w:r>
          <w:rPr>
            <w:color w:val="0000EE"/>
            <w:u w:val="single"/>
          </w:rPr>
          <w:t>[3]</w:t>
        </w:r>
      </w:hyperlink>
      <w:r>
        <w:t xml:space="preserve">, </w:t>
      </w:r>
      <w:hyperlink r:id="rId11">
        <w:r>
          <w:rPr>
            <w:color w:val="0000EE"/>
            <w:u w:val="single"/>
          </w:rPr>
          <w:t>[6]</w:t>
        </w:r>
      </w:hyperlink>
      <w:r/>
    </w:p>
    <w:p>
      <w:r/>
      <w:r>
        <w:t>A carefully drawn ban could protect vulnerable people without turning ordinary conversations into legal minefields.</w:t>
      </w:r>
      <w:r/>
    </w:p>
    <w:p>
      <w:pPr>
        <w:pStyle w:val="Heading3"/>
      </w:pPr>
      <w:r>
        <w:t>Source Reference Map</w:t>
      </w:r>
      <w:r/>
    </w:p>
    <w:p>
      <w:r/>
      <w:r>
        <w:rPr>
          <w:b/>
        </w:rPr>
        <w:t>Story idea inspired by:</w:t>
      </w:r>
      <w:r>
        <w:t xml:space="preserve"> </w:t>
      </w:r>
      <w:hyperlink r:id="rId12">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[4]</w:t>
        </w:r>
      </w:hyperlink>
      <w:r>
        <w:t xml:space="preserve">- Paragraph 2: </w:t>
      </w:r>
      <w:hyperlink r:id="rId11">
        <w:r>
          <w:rPr>
            <w:color w:val="0000EE"/>
            <w:u w:val="single"/>
          </w:rPr>
          <w:t>[3]</w:t>
        </w:r>
      </w:hyperlink>
      <w:r>
        <w:t xml:space="preserve">, </w:t>
      </w:r>
      <w:hyperlink r:id="rId11">
        <w:r>
          <w:rPr>
            <w:color w:val="0000EE"/>
            <w:u w:val="single"/>
          </w:rPr>
          <w:t>[6]</w:t>
        </w:r>
      </w:hyperlink>
      <w:r>
        <w:t xml:space="preserve">- Paragraph 3: </w:t>
      </w:r>
      <w:hyperlink r:id="rId9">
        <w:r>
          <w:rPr>
            <w:color w:val="0000EE"/>
            <w:u w:val="single"/>
          </w:rPr>
          <w:t>[2]</w:t>
        </w:r>
      </w:hyperlink>
      <w:r>
        <w:t xml:space="preserve">, </w:t>
      </w:r>
      <w:hyperlink r:id="rId9">
        <w:r>
          <w:rPr>
            <w:color w:val="0000EE"/>
            <w:u w:val="single"/>
          </w:rPr>
          <w:t>[5]</w:t>
        </w:r>
      </w:hyperlink>
      <w:r>
        <w:t xml:space="preserve">- Paragraph 4: </w:t>
      </w:r>
      <w:hyperlink r:id="rId9">
        <w:r>
          <w:rPr>
            <w:color w:val="0000EE"/>
            <w:u w:val="single"/>
          </w:rPr>
          <w:t>[2]</w:t>
        </w:r>
      </w:hyperlink>
      <w:r>
        <w:t xml:space="preserve">, </w:t>
      </w:r>
      <w:hyperlink r:id="rId11">
        <w:r>
          <w:rPr>
            <w:color w:val="0000EE"/>
            <w:u w:val="single"/>
          </w:rPr>
          <w:t>[3]</w:t>
        </w:r>
      </w:hyperlink>
      <w:r>
        <w:t xml:space="preserve">- Paragraph 5: </w:t>
      </w:r>
      <w:hyperlink r:id="rId11">
        <w:r>
          <w:rPr>
            <w:color w:val="0000EE"/>
            <w:u w:val="single"/>
          </w:rPr>
          <w:t>[3]</w:t>
        </w:r>
      </w:hyperlink>
      <w:r>
        <w:t xml:space="preserve">, </w:t>
      </w:r>
      <w:hyperlink r:id="rId11">
        <w:r>
          <w:rPr>
            <w:color w:val="0000EE"/>
            <w:u w:val="single"/>
          </w:rPr>
          <w:t>[6]</w:t>
        </w:r>
      </w:hyperlink>
      <w:r>
        <w:t xml:space="preserve">- Paragraph 6: </w:t>
      </w:r>
      <w:hyperlink r:id="rId9">
        <w:r>
          <w:rPr>
            <w:color w:val="0000EE"/>
            <w:u w:val="single"/>
          </w:rPr>
          <w:t>[2]</w:t>
        </w:r>
      </w:hyperlink>
      <w:r>
        <w:t xml:space="preserve">, </w:t>
      </w:r>
      <w:hyperlink r:id="rId9">
        <w:r>
          <w:rPr>
            <w:color w:val="0000EE"/>
            <w:u w:val="single"/>
          </w:rPr>
          <w:t>[5]</w:t>
        </w:r>
      </w:hyperlink>
      <w:r>
        <w:t xml:space="preserve">- Paragraph 7: </w:t>
      </w:r>
      <w:hyperlink r:id="rId10">
        <w:r>
          <w:rPr>
            <w:color w:val="0000EE"/>
            <w:u w:val="single"/>
          </w:rPr>
          <w:t>[4]</w:t>
        </w:r>
      </w:hyperlink>
      <w:r>
        <w:t xml:space="preserve">, </w:t>
      </w:r>
      <w:hyperlink r:id="rId10">
        <w:r>
          <w:rPr>
            <w:color w:val="0000EE"/>
            <w:u w:val="single"/>
          </w:rPr>
          <w:t>[7]</w:t>
        </w:r>
      </w:hyperlink>
      <w:r>
        <w:t xml:space="preserve">- Paragraph 8: </w:t>
      </w:r>
      <w:hyperlink r:id="rId10">
        <w:r>
          <w:rPr>
            <w:color w:val="0000EE"/>
            <w:u w:val="single"/>
          </w:rPr>
          <w:t>[4]</w:t>
        </w:r>
      </w:hyperlink>
      <w:r>
        <w:t xml:space="preserve">, </w:t>
      </w:r>
      <w:hyperlink r:id="rId10">
        <w:r>
          <w:rPr>
            <w:color w:val="0000EE"/>
            <w:u w:val="single"/>
          </w:rPr>
          <w:t>[7]</w:t>
        </w:r>
      </w:hyperlink>
      <w:r>
        <w:t xml:space="preserve">- Paragraph 9: </w:t>
      </w:r>
      <w:hyperlink r:id="rId9">
        <w:r>
          <w:rPr>
            <w:color w:val="0000EE"/>
            <w:u w:val="single"/>
          </w:rPr>
          <w:t>[2]</w:t>
        </w:r>
      </w:hyperlink>
      <w:r>
        <w:t xml:space="preserve">, </w:t>
      </w:r>
      <w:hyperlink r:id="rId10">
        <w:r>
          <w:rPr>
            <w:color w:val="0000EE"/>
            <w:u w:val="single"/>
          </w:rPr>
          <w:t>[4]</w:t>
        </w:r>
      </w:hyperlink>
      <w:r>
        <w:t xml:space="preserve">- Paragraph 10: </w:t>
      </w:r>
      <w:hyperlink r:id="rId9">
        <w:r>
          <w:rPr>
            <w:color w:val="0000EE"/>
            <w:u w:val="single"/>
          </w:rPr>
          <w:t>[2]</w:t>
        </w:r>
      </w:hyperlink>
      <w:r>
        <w:t xml:space="preserve">, </w:t>
      </w:r>
      <w:hyperlink r:id="rId9">
        <w:r>
          <w:rPr>
            <w:color w:val="0000EE"/>
            <w:u w:val="single"/>
          </w:rPr>
          <w:t>[5]</w:t>
        </w:r>
      </w:hyperlink>
      <w:r>
        <w:t xml:space="preserve">- Paragraph 11: </w:t>
      </w:r>
      <w:hyperlink r:id="rId11">
        <w:r>
          <w:rPr>
            <w:color w:val="0000EE"/>
            <w:u w:val="single"/>
          </w:rPr>
          <w:t>[3]</w:t>
        </w:r>
      </w:hyperlink>
      <w:r>
        <w:t xml:space="preserve">, </w:t>
      </w:r>
      <w:hyperlink r:id="rId11">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12">
        <w:r>
          <w:rPr>
            <w:color w:val="0000EE"/>
            <w:u w:val="single"/>
          </w:rPr>
          <w:t>https://www.christiantoday.com/news/christian-groups-say-proposed-conversion-therapy-ban-amounts-to-censorship</w:t>
        </w:r>
      </w:hyperlink>
      <w:r>
        <w:t xml:space="preserve"> - Please view link - unable to able to access data</w:t>
      </w:r>
      <w:r/>
    </w:p>
    <w:p>
      <w:pPr>
        <w:pStyle w:val="ListNumber"/>
        <w:spacing w:line="240" w:lineRule="auto"/>
        <w:ind w:left="720"/>
      </w:pPr>
      <w:r/>
      <w:hyperlink r:id="rId9">
        <w:r>
          <w:rPr>
            <w:color w:val="0000EE"/>
            <w:u w:val="single"/>
          </w:rPr>
          <w:t>https://www.christian.org.uk/features/why-the-proposed-conversion-therapy-ban-is-potentially-dangerous-for-the-work-of-churches/</w:t>
        </w:r>
      </w:hyperlink>
      <w:r>
        <w:t xml:space="preserve"> - The Christian Institute warns that the UK government's proposed 'conversion therapy' ban could criminalise routine church activities such as prayer, preaching, and pastoral care. They argue that a broad definition of 'conversion therapy' might encompass these practices, potentially leading to legal repercussions for religious leaders and parents expressing traditional Christian views on sexuality and gender. The Institute calls for the abandonment of the term 'conversion' in the legislation, suggesting it misrepresents the nature of Christian ministry and parental guidance.</w:t>
      </w:r>
      <w:r/>
    </w:p>
    <w:p>
      <w:pPr>
        <w:pStyle w:val="ListNumber"/>
        <w:spacing w:line="240" w:lineRule="auto"/>
        <w:ind w:left="720"/>
      </w:pPr>
      <w:r/>
      <w:hyperlink r:id="rId11">
        <w:r>
          <w:rPr>
            <w:color w:val="0000EE"/>
            <w:u w:val="single"/>
          </w:rPr>
          <w:t>https://www.christian.org.uk/features/criminalising-prayer-protects-no-one/</w:t>
        </w:r>
      </w:hyperlink>
      <w:r>
        <w:t xml:space="preserve"> - Simon Calvert, Deputy Director of The Christian Institute, critiques the UK government's commitment to banning 'conversion therapy'. He contends that the proposed legislation could infringe upon freedom of belief by policing reasonable conversations and statements of faith. Calvert describes the measure as disproportionate and controversial, urging that it should be shelved to prevent unnecessary censorship of religious expression.</w:t>
      </w:r>
      <w:r/>
    </w:p>
    <w:p>
      <w:pPr>
        <w:pStyle w:val="ListNumber"/>
        <w:spacing w:line="240" w:lineRule="auto"/>
        <w:ind w:left="720"/>
      </w:pPr>
      <w:r/>
      <w:hyperlink r:id="rId10">
        <w:r>
          <w:rPr>
            <w:color w:val="0000EE"/>
            <w:u w:val="single"/>
          </w:rPr>
          <w:t>https://www.christian.org.uk/features/children-and-teachers-could-be-harmed-by-conversion-therapy-ban/</w:t>
        </w:r>
      </w:hyperlink>
      <w:r>
        <w:t xml:space="preserve"> - The Association of Christian Teachers (ACT) has expressed concerns that the UK's proposed 'conversion therapy' ban could negatively impact children and educators. In a letter to the education secretary, ACT warns that the broad definition of 'conversion therapy' might include pastoral conversations, potentially leading to criminal convictions for teachers and limiting support for children with gender dysphoria who wish to discuss their feelings with school professionals.</w:t>
      </w:r>
      <w:r/>
    </w:p>
    <w:p>
      <w:pPr>
        <w:pStyle w:val="ListNumber"/>
        <w:spacing w:line="240" w:lineRule="auto"/>
        <w:ind w:left="720"/>
      </w:pPr>
      <w:r/>
      <w:hyperlink r:id="rId9">
        <w:r>
          <w:rPr>
            <w:color w:val="0000EE"/>
            <w:u w:val="single"/>
          </w:rPr>
          <w:t>https://www.christian.org.uk/features/why-the-proposed-conversion-therapy-ban-is-potentially-dangerous-for-the-work-of-churches/</w:t>
        </w:r>
      </w:hyperlink>
      <w:r>
        <w:t xml:space="preserve"> - The Christian Institute warns that the UK government's proposed 'conversion therapy' ban could criminalise routine church activities such as prayer, preaching, and pastoral care. They argue that a broad definition of 'conversion therapy' might encompass these practices, potentially leading to legal repercussions for religious leaders and parents expressing traditional Christian views on sexuality and gender. The Institute calls for the abandonment of the term 'conversion' in the legislation, suggesting it misrepresents the nature of Christian ministry and parental guidance.</w:t>
      </w:r>
      <w:r/>
    </w:p>
    <w:p>
      <w:pPr>
        <w:pStyle w:val="ListNumber"/>
        <w:spacing w:line="240" w:lineRule="auto"/>
        <w:ind w:left="720"/>
      </w:pPr>
      <w:r/>
      <w:hyperlink r:id="rId11">
        <w:r>
          <w:rPr>
            <w:color w:val="0000EE"/>
            <w:u w:val="single"/>
          </w:rPr>
          <w:t>https://www.christian.org.uk/features/criminalising-prayer-protects-no-one/</w:t>
        </w:r>
      </w:hyperlink>
      <w:r>
        <w:t xml:space="preserve"> - Simon Calvert, Deputy Director of The Christian Institute, critiques the UK government's commitment to banning 'conversion therapy'. He contends that the proposed legislation could infringe upon freedom of belief by policing reasonable conversations and statements of faith. Calvert describes the measure as disproportionate and controversial, urging that it should be shelved to prevent unnecessary censorship of religious expression.</w:t>
      </w:r>
      <w:r/>
    </w:p>
    <w:p>
      <w:pPr>
        <w:pStyle w:val="ListNumber"/>
        <w:spacing w:line="240" w:lineRule="auto"/>
        <w:ind w:left="720"/>
      </w:pPr>
      <w:r/>
      <w:hyperlink r:id="rId10">
        <w:r>
          <w:rPr>
            <w:color w:val="0000EE"/>
            <w:u w:val="single"/>
          </w:rPr>
          <w:t>https://www.christian.org.uk/features/children-and-teachers-could-be-harmed-by-conversion-therapy-ban/</w:t>
        </w:r>
      </w:hyperlink>
      <w:r>
        <w:t xml:space="preserve"> - The Association of Christian Teachers (ACT) has expressed concerns that the UK's proposed 'conversion therapy' ban could negatively impact children and educators. In a letter to the education secretary, ACT warns that the broad definition of 'conversion therapy' might include pastoral conversations, potentially leading to criminal convictions for teachers and limiting support for children with gender dysphoria who wish to discuss their feelings with school professionals.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christian.org.uk/features/why-the-proposed-conversion-therapy-ban-is-potentially-dangerous-for-the-work-of-churches/" TargetMode="External"/><Relationship Id="rId10" Type="http://schemas.openxmlformats.org/officeDocument/2006/relationships/hyperlink" Target="https://www.christian.org.uk/features/children-and-teachers-could-be-harmed-by-conversion-therapy-ban/" TargetMode="External"/><Relationship Id="rId11" Type="http://schemas.openxmlformats.org/officeDocument/2006/relationships/hyperlink" Target="https://www.christian.org.uk/features/criminalising-prayer-protects-no-one/" TargetMode="External"/><Relationship Id="rId12" Type="http://schemas.openxmlformats.org/officeDocument/2006/relationships/hyperlink" Target="https://www.christiantoday.com/news/christian-groups-say-proposed-conversion-therapy-ban-amounts-to-censorship"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