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LGBTQ+ Youth Mental Health Study Shows Support Saves Lives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Trevor Project’s two-year Project SPARK study offers a clearer view of LGBTQ+ young people’s mental health across the United States. Its message is sobering but practical: discrimination and instability deepen risk, while affirming homes, trusted friends and accessible care can help young people feel safer and more able to thrive.</w:t>
      </w:r>
      <w:r/>
    </w:p>
    <w:p>
      <w:pPr>
        <w:pStyle w:val="Heading2"/>
      </w:pPr>
      <w:r>
        <w:t>Essential Takeaways</w:t>
      </w:r>
      <w:r/>
      <w:r/>
    </w:p>
    <w:p>
      <w:pPr>
        <w:pStyle w:val="ListBullet"/>
        <w:spacing w:line="240" w:lineRule="auto"/>
        <w:ind w:left="720"/>
      </w:pPr>
      <w:r/>
      <w:r>
        <w:rPr>
          <w:b/>
        </w:rPr>
        <w:t>Anxiety and depression rose:</w:t>
      </w:r>
      <w:r>
        <w:t xml:space="preserve"> Both were already widespread among participants and increased during the study period.</w:t>
      </w:r>
      <w:r/>
    </w:p>
    <w:p>
      <w:pPr>
        <w:pStyle w:val="ListBullet"/>
        <w:spacing w:line="240" w:lineRule="auto"/>
        <w:ind w:left="720"/>
      </w:pPr>
      <w:r/>
      <w:r>
        <w:rPr>
          <w:b/>
        </w:rPr>
        <w:t>Support made a difference:</w:t>
      </w:r>
      <w:r>
        <w:t xml:space="preserve"> Affirming homes, gender euphoria, helpful care and gender-expression resources were linked with greater safety and support.</w:t>
      </w:r>
      <w:r/>
    </w:p>
    <w:p>
      <w:pPr>
        <w:pStyle w:val="ListBullet"/>
        <w:spacing w:line="240" w:lineRule="auto"/>
        <w:ind w:left="720"/>
      </w:pPr>
      <w:r/>
      <w:r>
        <w:rPr>
          <w:b/>
        </w:rPr>
        <w:t>Discrimination accumulates:</w:t>
      </w:r>
      <w:r>
        <w:t xml:space="preserve"> More than half of participants reported discrimination linked to sexual orientation or gender identity.</w:t>
      </w:r>
      <w:r/>
    </w:p>
    <w:p>
      <w:pPr>
        <w:pStyle w:val="ListBullet"/>
        <w:spacing w:line="240" w:lineRule="auto"/>
        <w:ind w:left="720"/>
      </w:pPr>
      <w:r/>
      <w:r>
        <w:rPr>
          <w:b/>
        </w:rPr>
        <w:t>Practical barriers remain:</w:t>
      </w:r>
      <w:r>
        <w:t xml:space="preserve"> Cost, permission requirements and fear of being misunderstood can stop young people seeking mental health care.</w:t>
      </w:r>
      <w:r/>
    </w:p>
    <w:p>
      <w:pPr>
        <w:pStyle w:val="ListBullet"/>
        <w:spacing w:line="240" w:lineRule="auto"/>
        <w:ind w:left="720"/>
      </w:pPr>
      <w:r/>
      <w:r>
        <w:rPr>
          <w:b/>
        </w:rPr>
        <w:t>Friends are vital:</w:t>
      </w:r>
      <w:r>
        <w:t xml:space="preserve"> Peer support was the most common source of help during suicidal crises, although many young people still told no one.</w:t>
      </w:r>
      <w:r/>
      <w:r/>
    </w:p>
    <w:p>
      <w:pPr>
        <w:pStyle w:val="Heading2"/>
      </w:pPr>
      <w:r>
        <w:t>Two years of check-ins reveal a changing picture</w:t>
      </w:r>
      <w:r/>
    </w:p>
    <w:p>
      <w:r/>
      <w:r>
        <w:t>The strongest message from Project SPARK is that LGBTQ+ youth mental health can't be reduced to a single survey snapshot. The Trevor Project followed nearly 1,700 young people across the US, checking in every six months between September 2023 and March 2026. That longer view captures something surveys often miss: how pressure, support and personal circumstances shift over time.</w:t>
      </w:r>
      <w:r/>
    </w:p>
    <w:p>
      <w:r/>
      <w:r>
        <w:t>The participants reflected a broad cross-section of LGBTQ+ youth. Around 68% were young people of colour, while 63% identified as transgender, non-binary or questioning their gender. According to The Trevor Project's full report, anxiety and depression increased during the study, while suicidal thoughts remained consistently high. Self-harm and suicide attempts, however, declined, a reminder that mental health trends rarely move in a simple straight line.</w:t>
      </w:r>
      <w:r/>
    </w:p>
    <w:p>
      <w:pPr>
        <w:pStyle w:val="Heading2"/>
      </w:pPr>
      <w:r>
        <w:t>Discrimination doesn't stay in the background</w:t>
      </w:r>
      <w:r/>
    </w:p>
    <w:p>
      <w:r/>
      <w:r>
        <w:t>More than half of participants said they'd experienced discrimination because of their sexual orientation or gender identity. For transgender, non-binary and questioning participants, gender identity-based discrimination increased over time, alongside reports of threats involving or exposure to conversion therapy.</w:t>
      </w:r>
      <w:r/>
    </w:p>
    <w:p>
      <w:r/>
      <w:r>
        <w:t>That matters because stress isn't confined to one difficult encounter. Repeated exclusion at school, at home, in healthcare or in public spaces can create a persistent sense of being watched or unsafe. The Trevor Project's interim findings similarly underline how a young person's surroundings can shape their mental health, rather than treating distress as an isolated individual problem.</w:t>
      </w:r>
      <w:r/>
    </w:p>
    <w:p>
      <w:r/>
      <w:r>
        <w:t>The wider political atmosphere also weighs heavily. The organisation's national research found that 90% of LGBTQ+ youth felt recent anti-LGBTQ+ policies and debates had caused stress or anxiety, while almost eight in ten said they felt unsafe because of them. Those figures help explain why public rhetoric can have very personal consequences.</w:t>
      </w:r>
      <w:r/>
    </w:p>
    <w:p>
      <w:pPr>
        <w:pStyle w:val="Heading2"/>
      </w:pPr>
      <w:r>
        <w:t>Safety means more than avoiding a crisis</w:t>
      </w:r>
      <w:r/>
    </w:p>
    <w:p>
      <w:r/>
      <w:r>
        <w:t>Economic insecurity and unmet basic needs remained common among participants, while homelessness increased over the final year covered by the research. Worrying about housing, transport, school, bathrooms or personal safety leaves little emotional room for recovery. The CDC likewise identifies social and structural conditions as important contributors to health disparities among LGBTQ+ young people.</w:t>
      </w:r>
      <w:r/>
    </w:p>
    <w:p>
      <w:r/>
      <w:r>
        <w:t>Yet the study is far from a story of helplessness. Affirming home environments, access to hormones, clothing and other gender-expression resources, gender euphoria and helpful mental health care all emerged as protective factors. In everyday terms, being recognised and supported can provide a steadier foundation than simply being told to cope better.</w:t>
      </w:r>
      <w:r/>
    </w:p>
    <w:p>
      <w:r/>
      <w:r>
        <w:t>That distinction is crucial. A safe conversation, a supportive adult or the freedom to dress in a way that feels right won't solve every challenge, but these moments can restore a sense of control. Sometimes the quietest forms of affirmation carry the greatest weight.</w:t>
      </w:r>
      <w:r/>
    </w:p>
    <w:p>
      <w:pPr>
        <w:pStyle w:val="Heading2"/>
      </w:pPr>
      <w:r>
        <w:t>Why access to care still falls short</w:t>
      </w:r>
      <w:r/>
    </w:p>
    <w:p>
      <w:r/>
      <w:r>
        <w:t>Most participants who wanted mental health support were receiving it at the two-year follow-up, but access didn't automatically mean useful or welcoming care. Young people cited cost, the need for caregiver permission, worries about discussing mental health and concerns that providers wouldn't understand their LGBTQ+ identities.</w:t>
      </w:r>
      <w:r/>
    </w:p>
    <w:p>
      <w:r/>
      <w:r>
        <w:t>For families and professionals, the practical lesson is straightforward. Services need to be affordable, confidential where appropriate and visibly LGBTQ+-affirming, while adults should avoid assuming that a young person feels safe simply because an appointment exists. The Trevor Project's research materials make the same broader point: support works best when young people can reach it without fear of judgement or dismissal.</w:t>
      </w:r>
      <w:r/>
    </w:p>
    <w:p>
      <w:r/>
      <w:r>
        <w:t>Choosing the right help can start small. A trusted adult can ask what kind of support feels comfortable, help identify an LGBTQ+-competent provider and agree on a plan for moments of crisis. Listening without rushing to correct, minimise or debate is often the first useful intervention.</w:t>
      </w:r>
      <w:r/>
    </w:p>
    <w:p>
      <w:pPr>
        <w:pStyle w:val="Heading2"/>
      </w:pPr>
      <w:r>
        <w:t>Friends can be the first lifeline</w:t>
      </w:r>
      <w:r/>
    </w:p>
    <w:p>
      <w:r/>
      <w:r>
        <w:t>When suicidal thoughts appeared, friends were the most common source of support. Helpline use also increased among participants with adequate resources, suggesting that young people do reach for help when services feel available and accessible.</w:t>
      </w:r>
      <w:r/>
    </w:p>
    <w:p>
      <w:r/>
      <w:r>
        <w:t>But nearly one in three participants who experienced suicidal thoughts sought help from no one. That gap is a sharp warning: knowing support exists isn't the same as feeling able to ask for it. Shame, fear of being misunderstood, concerns about consequences and a lack of privacy can all keep someone silent.</w:t>
      </w:r>
      <w:r/>
    </w:p>
    <w:p>
      <w:r/>
      <w:r>
        <w:t>The outlook, then, depends on both reducing harm and strengthening connection. As The Trevor Project continues Project SPARK, its researchers aim to examine longer-term patterns and the relationship between risk and protective factors. The human takeaway is simpler: a welcoming home, an attentive friend and competent care can help turn survival into the possibility of thriving.</w:t>
      </w:r>
      <w:r/>
    </w:p>
    <w:p>
      <w:r/>
      <w:r>
        <w:t>If you or someone you know is in immediate danger, contact emergency services or a trusted crisis service in your country.</w:t>
      </w:r>
      <w:r/>
    </w:p>
    <w:p>
      <w:r/>
      <w:r>
        <w:t>Supportive relationships can make mental health care feel possible, not just available.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0">
        <w:r>
          <w:rPr>
            <w:color w:val="0000EE"/>
            <w:u w:val="single"/>
          </w:rPr>
          <w:t>[2]</w:t>
        </w:r>
      </w:hyperlink>
      <w:r>
        <w:t xml:space="preserve">, </w:t>
      </w:r>
      <w:hyperlink r:id="rId13">
        <w:r>
          <w:rPr>
            <w:color w:val="0000EE"/>
            <w:u w:val="single"/>
          </w:rPr>
          <w:t>[4]</w:t>
        </w:r>
      </w:hyperlink>
      <w:r>
        <w:t xml:space="preserve">- Paragraph 4: </w:t>
      </w:r>
      <w:hyperlink r:id="rId10">
        <w:r>
          <w:rPr>
            <w:color w:val="0000EE"/>
            <w:u w:val="single"/>
          </w:rPr>
          <w:t>[2]</w:t>
        </w:r>
      </w:hyperlink>
      <w:r>
        <w:t xml:space="preserve">, </w:t>
      </w:r>
      <w:hyperlink r:id="rId14">
        <w:r>
          <w:rPr>
            <w:color w:val="0000EE"/>
            <w:u w:val="single"/>
          </w:rPr>
          <w:t>[7]</w:t>
        </w:r>
      </w:hyperlink>
      <w:r>
        <w:t xml:space="preserve">- Paragraph 5: </w:t>
      </w:r>
      <w:hyperlink r:id="rId11">
        <w:r>
          <w:rPr>
            <w:color w:val="0000EE"/>
            <w:u w:val="single"/>
          </w:rPr>
          <w:t>[3]</w:t>
        </w:r>
      </w:hyperlink>
      <w:r>
        <w:t xml:space="preserve">, </w:t>
      </w:r>
      <w:hyperlink r:id="rId15">
        <w:r>
          <w:rPr>
            <w:color w:val="0000EE"/>
            <w:u w:val="single"/>
          </w:rPr>
          <w:t>[6]</w:t>
        </w:r>
      </w:hyperlink>
      <w:r>
        <w:t xml:space="preserve">- Paragraph 6: </w:t>
      </w:r>
      <w:hyperlink r:id="rId10">
        <w:r>
          <w:rPr>
            <w:color w:val="0000EE"/>
            <w:u w:val="single"/>
          </w:rPr>
          <w:t>[2]</w:t>
        </w:r>
      </w:hyperlink>
      <w:r>
        <w:t xml:space="preserve">, </w:t>
      </w:r>
      <w:hyperlink r:id="rId13">
        <w:r>
          <w:rPr>
            <w:color w:val="0000EE"/>
            <w:u w:val="single"/>
          </w:rPr>
          <w:t>[4]</w:t>
        </w:r>
      </w:hyperlink>
      <w:r>
        <w:t xml:space="preserve">- Paragraph 7: </w:t>
      </w:r>
      <w:hyperlink r:id="rId10">
        <w:r>
          <w:rPr>
            <w:color w:val="0000EE"/>
            <w:u w:val="single"/>
          </w:rPr>
          <w:t>[2]</w:t>
        </w:r>
      </w:hyperlink>
      <w:r>
        <w:t xml:space="preserve">, </w:t>
      </w:r>
      <w:hyperlink r:id="rId14">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[5]</w:t>
        </w:r>
      </w:hyperlink>
      <w:r>
        <w:t xml:space="preserve">- Paragraph 9: </w:t>
      </w:r>
      <w:hyperlink r:id="rId10">
        <w:r>
          <w:rPr>
            <w:color w:val="0000EE"/>
            <w:u w:val="single"/>
          </w:rPr>
          <w:t>[2]</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3">
        <w:r>
          <w:rPr>
            <w:color w:val="0000EE"/>
            <w:u w:val="single"/>
          </w:rPr>
          <w:t>[4]</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0">
        <w:r>
          <w:rPr>
            <w:color w:val="0000EE"/>
            <w:u w:val="single"/>
          </w:rPr>
          <w:t>[2]</w:t>
        </w:r>
      </w:hyperlink>
      <w:r>
        <w:t xml:space="preserve">, </w:t>
      </w:r>
      <w:hyperlink r:id="rId15">
        <w:r>
          <w:rPr>
            <w:color w:val="0000EE"/>
            <w:u w:val="single"/>
          </w:rPr>
          <w:t>[6]</w:t>
        </w:r>
      </w:hyperlink>
      <w:r>
        <w:t xml:space="preserve">- Paragraph 13: </w:t>
      </w:r>
      <w:hyperlink r:id="rId10">
        <w:r>
          <w:rPr>
            <w:color w:val="0000EE"/>
            <w:u w:val="single"/>
          </w:rPr>
          <w:t>[2]</w:t>
        </w:r>
      </w:hyperlink>
      <w:r>
        <w:t xml:space="preserve">, </w:t>
      </w:r>
      <w:hyperlink r:id="rId13">
        <w:r>
          <w:rPr>
            <w:color w:val="0000EE"/>
            <w:u w:val="single"/>
          </w:rPr>
          <w:t>[4]</w:t>
        </w:r>
      </w:hyperlink>
      <w:r>
        <w:t xml:space="preserve">- Paragraph 14: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https://www.thetrevorproject.org/blog/two-year-lgbtq-youth-mental-health-study/</w:t>
        </w:r>
      </w:hyperlink>
      <w:r>
        <w:t xml:space="preserve"> - Please view link - unable to able to access data</w:t>
      </w:r>
      <w:r/>
    </w:p>
    <w:p>
      <w:pPr>
        <w:pStyle w:val="ListNumber"/>
        <w:spacing w:line="240" w:lineRule="auto"/>
        <w:ind w:left="720"/>
      </w:pPr>
      <w:r/>
      <w:hyperlink r:id="rId10">
        <w:r>
          <w:rPr>
            <w:color w:val="0000EE"/>
            <w:u w:val="single"/>
          </w:rPr>
          <w:t>https://www.thetrevorproject.org/project-spark-two-year-report-a-longitudinal-study/</w:t>
        </w:r>
      </w:hyperlink>
      <w:r>
        <w:t xml:space="preserve"> - The Trevor Project's Project SPARK is an ongoing longitudinal study following 1,689 LGBTQ+ youth aged 13–24 across the United States. The two-year findings, covering data collected from September 2023 to March 2026, highlight the importance of addressing both risk factors and protective factors to improve mental health and reduce suicide risk among LGBTQ+ youth. The study underscores the need for supportive environments and resources to foster well-being in this population.</w:t>
      </w:r>
      <w:r/>
    </w:p>
    <w:p>
      <w:pPr>
        <w:pStyle w:val="ListNumber"/>
        <w:spacing w:line="240" w:lineRule="auto"/>
        <w:ind w:left="720"/>
      </w:pPr>
      <w:r/>
      <w:hyperlink r:id="rId11">
        <w:r>
          <w:rPr>
            <w:color w:val="0000EE"/>
            <w:u w:val="single"/>
          </w:rPr>
          <w:t>https://www.thetrevorproject.org/project-spark-interim-report-a-longitudinal-study/</w:t>
        </w:r>
      </w:hyperlink>
      <w:r>
        <w:t xml:space="preserve"> - The Trevor Project's Project SPARK Interim Report presents findings from the first year of a longitudinal study tracking 1,689 LGBTQ+ youth aged 13–24 across the United States. Data collected between September 2023 and March 2025 reveal significant mental health disparities, particularly among transgender, nonbinary, or questioning youth. The report emphasizes the critical role of family support, affirming environments, and access to culturally competent mental health care in mitigating these challenges.</w:t>
      </w:r>
      <w:r/>
    </w:p>
    <w:p>
      <w:pPr>
        <w:pStyle w:val="ListNumber"/>
        <w:spacing w:line="240" w:lineRule="auto"/>
        <w:ind w:left="720"/>
      </w:pPr>
      <w:r/>
      <w:hyperlink r:id="rId13">
        <w:r>
          <w:rPr>
            <w:color w:val="0000EE"/>
            <w:u w:val="single"/>
          </w:rPr>
          <w:t>https://www.thetrevorproject.org/blog/two-year-study-on-lgbtq-youth-support-saves-lives-anti-lgbtq-stigma-drives-suicide-risk/</w:t>
        </w:r>
      </w:hyperlink>
      <w:r>
        <w:t xml:space="preserve"> - The Trevor Project's two-year study on LGBTQ+ youth reveals that support saves lives, while anti-LGBTQ+ stigma drives suicide risk. The study, which surveyed nearly 1,700 LGBTQ+ young people across the U.S., highlights the critical need for supportive environments and resources to address the mental health challenges faced by this population.</w:t>
      </w:r>
      <w:r/>
    </w:p>
    <w:p>
      <w:pPr>
        <w:pStyle w:val="ListNumber"/>
        <w:spacing w:line="240" w:lineRule="auto"/>
        <w:ind w:left="720"/>
      </w:pPr>
      <w:r/>
      <w:hyperlink r:id="rId12">
        <w:r>
          <w:rPr>
            <w:color w:val="0000EE"/>
            <w:u w:val="single"/>
          </w:rPr>
          <w:t>https://www.thetrevorproject.org/project-spark-interim-report-a-longitudinal-study-background/</w:t>
        </w:r>
      </w:hyperlink>
      <w:r>
        <w:t xml:space="preserve"> - The Trevor Project's Project SPARK Interim Report provides background on a longitudinal study examining protective and risk factors in LGBTQ+ youth mental health. The study aims to understand how experiences and mental health of a diverse sample of LGBTQ+ young people change over time, addressing gaps in existing research and informing targeted interventions and policies.</w:t>
      </w:r>
      <w:r/>
    </w:p>
    <w:p>
      <w:pPr>
        <w:pStyle w:val="ListNumber"/>
        <w:spacing w:line="240" w:lineRule="auto"/>
        <w:ind w:left="720"/>
      </w:pPr>
      <w:r/>
      <w:hyperlink r:id="rId15">
        <w:r>
          <w:rPr>
            <w:color w:val="0000EE"/>
            <w:u w:val="single"/>
          </w:rPr>
          <w:t>https://www.thetrevorproject.org/research-/</w:t>
        </w:r>
      </w:hyperlink>
      <w:r>
        <w:t xml:space="preserve"> - The Trevor Project conducts research to amplify the experiences of LGBTQ+ young people and add new knowledge to the suicide prevention field. Their studies, including Project SPARK, provide critical insights into the public health crisis of suicide among LGBTQ+ youth and data-driven ways to address it.</w:t>
      </w:r>
      <w:r/>
    </w:p>
    <w:p>
      <w:pPr>
        <w:pStyle w:val="ListNumber"/>
        <w:spacing w:line="240" w:lineRule="auto"/>
        <w:ind w:left="720"/>
      </w:pPr>
      <w:r/>
      <w:hyperlink r:id="rId14">
        <w:r>
          <w:rPr>
            <w:color w:val="0000EE"/>
            <w:u w:val="single"/>
          </w:rPr>
          <w:t>https://www.cdc.gov/healthy-youth/lgbtq-youth/health-disparities-among-lgbtq-youth.html</w:t>
        </w:r>
      </w:hyperlink>
      <w:r>
        <w:t xml:space="preserve"> - The Centers for Disease Control and Prevention (CDC) highlights substantial health disparities among LGBTQ+ youth, including higher rates of poor mental health and suicidal thoughts compared to their cisgender heterosexual peers. The CDC works with education and public health partners to address these health risks and disparities.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trevorproject.org/blog/two-year-lgbtq-youth-mental-health-study/" TargetMode="External"/><Relationship Id="rId10" Type="http://schemas.openxmlformats.org/officeDocument/2006/relationships/hyperlink" Target="https://www.thetrevorproject.org/project-spark-two-year-report-a-longitudinal-study/" TargetMode="External"/><Relationship Id="rId11" Type="http://schemas.openxmlformats.org/officeDocument/2006/relationships/hyperlink" Target="https://www.thetrevorproject.org/project-spark-interim-report-a-longitudinal-study/" TargetMode="External"/><Relationship Id="rId12" Type="http://schemas.openxmlformats.org/officeDocument/2006/relationships/hyperlink" Target="https://www.thetrevorproject.org/project-spark-interim-report-a-longitudinal-study-background/" TargetMode="External"/><Relationship Id="rId13" Type="http://schemas.openxmlformats.org/officeDocument/2006/relationships/hyperlink" Target="https://www.thetrevorproject.org/blog/two-year-study-on-lgbtq-youth-support-saves-lives-anti-lgbtq-stigma-drives-suicide-risk/" TargetMode="External"/><Relationship Id="rId14" Type="http://schemas.openxmlformats.org/officeDocument/2006/relationships/hyperlink" Target="https://www.cdc.gov/healthy-youth/lgbtq-youth/health-disparities-among-lgbtq-youth.html" TargetMode="External"/><Relationship Id="rId15" Type="http://schemas.openxmlformats.org/officeDocument/2006/relationships/hyperlink" Target="https://www.thetrevorproject.org/researc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