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Ukraine discrimination report sets out 15 protection measures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Ukraine has made progress on anti-discrimination law and policy during the full-scale war, but a new Council of Europe assessment says Roma and LGBT people still face hate speech, weak enforcement and practical barriers. Its 15 recommendations focus on education, reporting, healthcare and equal protection.</w:t>
      </w:r>
      <w:r/>
    </w:p>
    <w:p>
      <w:pPr>
        <w:pStyle w:val="Heading2"/>
      </w:pPr>
      <w:r>
        <w:t>Essential Takeaways</w:t>
      </w:r>
      <w:r/>
      <w:r/>
    </w:p>
    <w:p>
      <w:pPr>
        <w:pStyle w:val="ListBullet"/>
        <w:spacing w:line="240" w:lineRule="auto"/>
        <w:ind w:left="720"/>
      </w:pPr>
      <w:r/>
      <w:r>
        <w:rPr>
          <w:b/>
        </w:rPr>
        <w:t>Progress recognised:</w:t>
      </w:r>
      <w:r>
        <w:t xml:space="preserve"> The Council of Europe noted stronger anti-discrimination work and expanded police training on hate-crime investigations.</w:t>
      </w:r>
      <w:r/>
    </w:p>
    <w:p>
      <w:pPr>
        <w:pStyle w:val="ListBullet"/>
        <w:spacing w:line="240" w:lineRule="auto"/>
        <w:ind w:left="720"/>
      </w:pPr>
      <w:r/>
      <w:r>
        <w:rPr>
          <w:b/>
        </w:rPr>
        <w:t>Hate incidents remain under-recorded:</w:t>
      </w:r>
      <w:r>
        <w:t xml:space="preserve"> Authorities still misclassify many offences, making proper investigations harder.</w:t>
      </w:r>
      <w:r/>
    </w:p>
    <w:p>
      <w:pPr>
        <w:pStyle w:val="ListBullet"/>
        <w:spacing w:line="240" w:lineRule="auto"/>
        <w:ind w:left="720"/>
      </w:pPr>
      <w:r/>
      <w:r>
        <w:rPr>
          <w:b/>
        </w:rPr>
        <w:t>Schools need to improve:</w:t>
      </w:r>
      <w:r>
        <w:t xml:space="preserve"> Roma history and culture, LGBT issues and anti-bullying measures require more sensitive, inclusive treatment.</w:t>
      </w:r>
      <w:r/>
    </w:p>
    <w:p>
      <w:pPr>
        <w:pStyle w:val="ListBullet"/>
        <w:spacing w:line="240" w:lineRule="auto"/>
        <w:ind w:left="720"/>
      </w:pPr>
      <w:r/>
      <w:r>
        <w:rPr>
          <w:b/>
        </w:rPr>
        <w:t>Two priorities stand out:</w:t>
      </w:r>
      <w:r>
        <w:t xml:space="preserve"> Public campaigns against hate speech and practical help for Roma people who lack identity documents.</w:t>
      </w:r>
      <w:r/>
    </w:p>
    <w:p>
      <w:pPr>
        <w:pStyle w:val="ListBullet"/>
        <w:spacing w:line="240" w:lineRule="auto"/>
        <w:ind w:left="720"/>
      </w:pPr>
      <w:r/>
      <w:r>
        <w:rPr>
          <w:b/>
        </w:rPr>
        <w:t>The clock is running:</w:t>
      </w:r>
      <w:r>
        <w:t xml:space="preserve"> A review is expected within two years to assess progress on the priority recommendations.</w:t>
      </w:r>
      <w:r/>
      <w:r/>
    </w:p>
    <w:p>
      <w:pPr>
        <w:pStyle w:val="Heading2"/>
      </w:pPr>
      <w:r>
        <w:t>A mixed picture for vulnerable communities</w:t>
      </w:r>
      <w:r/>
    </w:p>
    <w:p>
      <w:r/>
      <w:r>
        <w:t>The report presents a picture that is neither wholly bleak nor comfortably reassuring. According to the Council of Europe, Ukraine has strengthened its legal and policy response to discrimination against Roma and LGBT people, even as the war has placed enormous pressure on public services and civil society.</w:t>
      </w:r>
      <w:r/>
    </w:p>
    <w:p>
      <w:r/>
      <w:r>
        <w:t xml:space="preserve">That progress includes a more active parliamentary ombudsman and closer cooperation with non-governmental organisations. Training for law-enforcement officers on investigating hate crimes has also expanded, a practical step that matters far more than polished statements alone. The Council of Europe has previously warned that the war has intensified hate speech and worsened conditions for vulnerable groups. </w:t>
      </w:r>
      <w:hyperlink r:id="rId9">
        <w:r>
          <w:rPr>
            <w:color w:val="0000EE"/>
            <w:u w:val="single"/>
          </w:rPr>
          <w:t>[2]</w:t>
        </w:r>
      </w:hyperlink>
      <w:r>
        <w:t xml:space="preserve">, </w:t>
      </w:r>
      <w:hyperlink r:id="rId10">
        <w:r>
          <w:rPr>
            <w:color w:val="0000EE"/>
            <w:u w:val="single"/>
          </w:rPr>
          <w:t>[3]</w:t>
        </w:r>
      </w:hyperlink>
      <w:r/>
    </w:p>
    <w:p>
      <w:pPr>
        <w:pStyle w:val="Heading2"/>
      </w:pPr>
      <w:r>
        <w:t>Hate speech is down, but accountability still lags</w:t>
      </w:r>
      <w:r/>
    </w:p>
    <w:p>
      <w:r/>
      <w:r>
        <w:t>Experts recorded concern about hostile language aimed at Roma and LGBT people, although the overall number of reported incidents has fallen. The more troubling issue is what happens after an incident reaches the authorities.</w:t>
      </w:r>
      <w:r/>
    </w:p>
    <w:p>
      <w:r/>
      <w:r>
        <w:t xml:space="preserve">Many hate-motivated offences are still reportedly classified incorrectly by police and prosecutors. That can strip away the context that explains why a victim was targeted, leaving cases weaker and making patterns of abuse harder to see. As the Council of Europe has observed in its wider work, accurate recording is the foundation of effective protection. </w:t>
      </w:r>
      <w:hyperlink r:id="rId9">
        <w:r>
          <w:rPr>
            <w:color w:val="0000EE"/>
            <w:u w:val="single"/>
          </w:rPr>
          <w:t>[2]</w:t>
        </w:r>
      </w:hyperlink>
      <w:r>
        <w:t xml:space="preserve">, </w:t>
      </w:r>
      <w:hyperlink r:id="rId9">
        <w:r>
          <w:rPr>
            <w:color w:val="0000EE"/>
            <w:u w:val="single"/>
          </w:rPr>
          <w:t>[6]</w:t>
        </w:r>
      </w:hyperlink>
      <w:r/>
    </w:p>
    <w:p>
      <w:r/>
      <w:r>
        <w:t>That gap also affects public confidence. If victims believe a complaint will be treated as an ordinary dispute rather than a hate crime, they may decide that reporting is not worth the stress. A quieter statistics sheet, in other words, doesn't always mean a safer society.</w:t>
      </w:r>
      <w:r/>
    </w:p>
    <w:p>
      <w:pPr>
        <w:pStyle w:val="Heading2"/>
      </w:pPr>
      <w:r>
        <w:t>Education is a key battleground</w:t>
      </w:r>
      <w:r/>
    </w:p>
    <w:p>
      <w:r/>
      <w:r>
        <w:t>The recommendations place particular emphasis on schools. Roma children should have better access to quality education, while teaching materials need to reflect Roma history and culture more fully. The report also calls for stronger action against bullying directed at LGBT pupils.</w:t>
      </w:r>
      <w:r/>
    </w:p>
    <w:p>
      <w:r/>
      <w:r>
        <w:t xml:space="preserve">This is delicate territory, especially during wartime, but avoiding the subject doesn't make prejudice disappear. ILGA-Europe's assessment of the region describes progress on LGBT rights as uneven, with political commitments often moving faster than everyday protection. Thoughtful teaching, trained staff and clear reporting routes can turn inclusion from a slogan into something pupils can actually feel. </w:t>
      </w:r>
      <w:hyperlink r:id="rId11">
        <w:r>
          <w:rPr>
            <w:color w:val="0000EE"/>
            <w:u w:val="single"/>
          </w:rPr>
          <w:t>[4]</w:t>
        </w:r>
      </w:hyperlink>
      <w:r>
        <w:t xml:space="preserve">, </w:t>
      </w:r>
      <w:hyperlink r:id="rId10">
        <w:r>
          <w:rPr>
            <w:color w:val="0000EE"/>
            <w:u w:val="single"/>
          </w:rPr>
          <w:t>[5]</w:t>
        </w:r>
      </w:hyperlink>
      <w:r/>
    </w:p>
    <w:p>
      <w:r/>
      <w:r>
        <w:t>For schools, the practical message is straightforward: anti-bullying policies should define hate-based abuse clearly, staff should know how to respond, and families should have a safe way to raise concerns. These measures aren't glamorous, but they create the steady, visible protection children need.</w:t>
      </w:r>
      <w:r/>
    </w:p>
    <w:p>
      <w:pPr>
        <w:pStyle w:val="Heading2"/>
      </w:pPr>
      <w:r>
        <w:t>Identity documents can unlock basic rights</w:t>
      </w:r>
      <w:r/>
    </w:p>
    <w:p>
      <w:r/>
      <w:r>
        <w:t>One of the report's priority recommendations concerns Roma people who lack identity documents. The Council of Europe wants Ukraine to establish an inclusive working group to identify those affected and provide targeted support through the administrative process.</w:t>
      </w:r>
      <w:r/>
    </w:p>
    <w:p>
      <w:r/>
      <w:r>
        <w:t>Without valid documents, everyday tasks can become exhausting obstacles. Accessing education, healthcare, benefits or formal employment may all become more difficult, particularly for people already facing discrimination. The proposed answer is not simply another form or deadline, but hands-on assistance that helps people navigate the system.</w:t>
      </w:r>
      <w:r/>
    </w:p>
    <w:p>
      <w:r/>
      <w:r>
        <w:t xml:space="preserve">The recommendation also calls for simpler administrative procedures and cooperation with Roma communities. That community connection is important: support is more likely to work when it is designed with trusted mediators and families rather than delivered from a distance. </w:t>
      </w:r>
      <w:hyperlink r:id="rId9">
        <w:r>
          <w:rPr>
            <w:color w:val="0000EE"/>
            <w:u w:val="single"/>
          </w:rPr>
          <w:t>[2]</w:t>
        </w:r>
      </w:hyperlink>
      <w:r>
        <w:t xml:space="preserve">, </w:t>
      </w:r>
      <w:hyperlink r:id="rId9">
        <w:r>
          <w:rPr>
            <w:color w:val="0000EE"/>
            <w:u w:val="single"/>
          </w:rPr>
          <w:t>[6]</w:t>
        </w:r>
      </w:hyperlink>
      <w:r/>
    </w:p>
    <w:p>
      <w:pPr>
        <w:pStyle w:val="Heading2"/>
      </w:pPr>
      <w:r>
        <w:t>What happens next?</w:t>
      </w:r>
      <w:r/>
    </w:p>
    <w:p>
      <w:r/>
      <w:r>
        <w:t>The Council of Europe has issued 15 recommendations, but it has singled out two for urgent attention. Ukraine is being encouraged to run public-awareness campaigns against hate speech, particularly anti-Roma and anti-LGBT abuse, while also building the system to help Roma people secure identity documents.</w:t>
      </w:r>
      <w:r/>
    </w:p>
    <w:p>
      <w:r/>
      <w:r>
        <w:t xml:space="preserve">The report also points to unresolved barriers affecting transgender people seeking medical care, alongside allegations of racist or LGBT-phobic conduct involving personnel in public institutions. It recommends moving towards equality and hate-crime laws that explicitly protect sexual orientation, gender identity, sex characteristics, ethnic origin and skin colour. </w:t>
      </w:r>
      <w:hyperlink r:id="rId10">
        <w:r>
          <w:rPr>
            <w:color w:val="0000EE"/>
            <w:u w:val="single"/>
          </w:rPr>
          <w:t>[3]</w:t>
        </w:r>
      </w:hyperlink>
      <w:r>
        <w:t xml:space="preserve">, </w:t>
      </w:r>
      <w:hyperlink r:id="rId11">
        <w:r>
          <w:rPr>
            <w:color w:val="0000EE"/>
            <w:u w:val="single"/>
          </w:rPr>
          <w:t>[4]</w:t>
        </w:r>
      </w:hyperlink>
      <w:r/>
    </w:p>
    <w:p>
      <w:r/>
      <w:r>
        <w:t>An interim monitoring exercise is expected within two years. That gives authorities a clear window to show whether the recommendations have produced quieter classrooms, better records and fewer administrative dead ends. Progress will be measured not only in legislation, but in whether people can seek help and receive it.</w:t>
      </w:r>
      <w:r/>
    </w:p>
    <w:p>
      <w:r/>
      <w:r>
        <w:t>Small administrative fixes can have a profound human effect, especially when they tell someone that the system can finally see them.</w:t>
      </w:r>
      <w:r/>
    </w:p>
    <w:p>
      <w:r/>
      <w:r>
        <w:t>Explore the recommendations as a practical test of whether legal progress reaches everyday 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9">
        <w:r>
          <w:rPr>
            <w:color w:val="0000EE"/>
            <w:u w:val="single"/>
          </w:rPr>
          <w:t>[6]</w:t>
        </w:r>
      </w:hyperlink>
      <w:r>
        <w:t xml:space="preserve">- Paragraph 3: </w:t>
      </w:r>
      <w:hyperlink r:id="rId11">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9">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https://zn.ua/europe/v-sovete-evropy-otmetili-prohress-ukrainy-v-borbe-s-diskriminatsiej-no-prizvali-usilit-zashchitu-romov-i-lhbti.html</w:t>
        </w:r>
      </w:hyperlink>
      <w:r>
        <w:t xml:space="preserve"> - Please view link - unable to able to access data</w:t>
      </w:r>
      <w:r/>
    </w:p>
    <w:p>
      <w:pPr>
        <w:pStyle w:val="ListNumber"/>
        <w:spacing w:line="240" w:lineRule="auto"/>
        <w:ind w:left="720"/>
      </w:pPr>
      <w:r/>
      <w:hyperlink r:id="rId9">
        <w:r>
          <w:rPr>
            <w:color w:val="0000EE"/>
            <w:u w:val="single"/>
          </w:rPr>
          <w:t>https://www.coe.int/en/web/kyiv/-/conflict-in-ukraine-has-led-to-sharp-rise-in-hate-speech-had-overall-negative-impact-on-vulnerable-groups-says-council-of-europe-anti-racism-commissio</w:t>
        </w:r>
      </w:hyperlink>
      <w:r>
        <w:t xml:space="preserve"> - In 2017, the Council of Europe's Anti-Racism Commission reported that the ongoing conflict in Ukraine had led to a significant increase in hate speech, negatively affecting vulnerable groups, including Roma and LGBTI individuals. The report highlighted the need for enhanced protection measures and the importance of combating hate speech to safeguard these communities.</w:t>
      </w:r>
      <w:r/>
    </w:p>
    <w:p>
      <w:pPr>
        <w:pStyle w:val="ListNumber"/>
        <w:spacing w:line="240" w:lineRule="auto"/>
        <w:ind w:left="720"/>
      </w:pPr>
      <w:r/>
      <w:hyperlink r:id="rId10">
        <w:r>
          <w:rPr>
            <w:color w:val="0000EE"/>
            <w:u w:val="single"/>
          </w:rPr>
          <w:t>https://www.coe.int/en/web/european-commission-against-racism-and-intolerance/-/consequences-of-russia-s-war-against-ukraine-mixed-picture-with-lgbti-persons-rights-antigypsyism-and-shrinking-space-for-civil-society-council-of-europe-anti-racism-body-presented-key-trends-in-europe-in-2022</w:t>
        </w:r>
      </w:hyperlink>
      <w:r>
        <w:t xml:space="preserve"> - In 2022, the Council of Europe's anti-racism body, ECRI, presented key trends in Europe, noting a mixed picture regarding LGBTI persons' rights, antigypsyism, and the shrinking space for civil society. The report emphasized the need for continued efforts to combat discrimination and support vulnerable communities.</w:t>
      </w:r>
      <w:r/>
    </w:p>
    <w:p>
      <w:pPr>
        <w:pStyle w:val="ListNumber"/>
        <w:spacing w:line="240" w:lineRule="auto"/>
        <w:ind w:left="720"/>
      </w:pPr>
      <w:r/>
      <w:hyperlink r:id="rId11">
        <w:r>
          <w:rPr>
            <w:color w:val="0000EE"/>
            <w:u w:val="single"/>
          </w:rPr>
          <w:t>https://www.ilga-europe.org/report/a-complex-picture-of-progress/</w:t>
        </w:r>
      </w:hyperlink>
      <w:r>
        <w:t xml:space="preserve"> - ILGA-Europe's 2024 report on SOGIESC protections in the Council of Europe region presents a complex picture of progress. While some member states have made significant strides, others have stagnated or regressed in protecting LGBTI individuals. The report calls for enhanced efforts to combat discrimination and support civil society actors.</w:t>
      </w:r>
      <w:r/>
    </w:p>
    <w:p>
      <w:pPr>
        <w:pStyle w:val="ListNumber"/>
        <w:spacing w:line="240" w:lineRule="auto"/>
        <w:ind w:left="720"/>
      </w:pPr>
      <w:r/>
      <w:hyperlink r:id="rId10">
        <w:r>
          <w:rPr>
            <w:color w:val="0000EE"/>
            <w:u w:val="single"/>
          </w:rPr>
          <w:t>https://www.coe.int/en/web/european-commission-against-racism-and-intolerance/-/consequences-of-russia-s-war-against-ukraine-mixed-picture-with-lgbti-persons-rights-antigypsyism-and-shrinking-space-for-civil-society-council-of-europe-anti-racism-body-presented-key-trends-in-europe-in-2022</w:t>
        </w:r>
      </w:hyperlink>
      <w:r>
        <w:t xml:space="preserve"> - In 2022, the Council of Europe's anti-racism body, ECRI, presented key trends in Europe, noting a mixed picture regarding LGBTI persons' rights, antigypsyism, and the shrinking space for civil society. The report emphasized the need for continued efforts to combat discrimination and support vulnerable communities.</w:t>
      </w:r>
      <w:r/>
    </w:p>
    <w:p>
      <w:pPr>
        <w:pStyle w:val="ListNumber"/>
        <w:spacing w:line="240" w:lineRule="auto"/>
        <w:ind w:left="720"/>
      </w:pPr>
      <w:r/>
      <w:hyperlink r:id="rId9">
        <w:r>
          <w:rPr>
            <w:color w:val="0000EE"/>
            <w:u w:val="single"/>
          </w:rPr>
          <w:t>https://www.coe.int/en/web/kyiv/-/conflict-in-ukraine-has-led-to-sharp-rise-in-hate-speech-had-overall-negative-impact-on-vulnerable-groups-says-council-of-europe-anti-racism-commissio</w:t>
        </w:r>
      </w:hyperlink>
      <w:r>
        <w:t xml:space="preserve"> - In 2017, the Council of Europe's Anti-Racism Commission reported that the ongoing conflict in Ukraine had led to a significant increase in hate speech, negatively affecting vulnerable groups, including Roma and LGBTI individuals. The report highlighted the need for enhanced protection measures and the importance of combating hate speech to safeguard these communities.</w:t>
      </w:r>
      <w:r/>
    </w:p>
    <w:p>
      <w:pPr>
        <w:pStyle w:val="ListNumber"/>
        <w:spacing w:line="240" w:lineRule="auto"/>
        <w:ind w:left="720"/>
      </w:pPr>
      <w:r/>
      <w:hyperlink r:id="rId9">
        <w:r>
          <w:rPr>
            <w:color w:val="0000EE"/>
            <w:u w:val="single"/>
          </w:rPr>
          <w:t>https://www.coe.int/en/web/kyiv/-/conflict-in-ukraine-has-led-to-sharp-rise-in-hate-speech-had-overall-negative-impact-on-vulnerable-groups-says-council-of-europe-anti-racism-commissio</w:t>
        </w:r>
      </w:hyperlink>
      <w:r>
        <w:t xml:space="preserve"> - In 2017, the Council of Europe's Anti-Racism Commission reported that the ongoing conflict in Ukraine had led to a significant increase in hate speech, negatively affecting vulnerable groups, including Roma and LGBTI individuals. The report highlighted the need for enhanced protection measures and the importance of combating hate speech to safeguard these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e.int/en/web/kyiv/-/conflict-in-ukraine-has-led-to-sharp-rise-in-hate-speech-had-overall-negative-impact-on-vulnerable-groups-says-council-of-europe-anti-racism-commissio" TargetMode="External"/><Relationship Id="rId10" Type="http://schemas.openxmlformats.org/officeDocument/2006/relationships/hyperlink" Target="https://www.coe.int/en/web/european-commission-against-racism-and-intolerance/-/consequences-of-russia-s-war-against-ukraine-mixed-picture-with-lgbti-persons-rights-antigypsyism-and-shrinking-space-for-civil-society-council-of-europe-anti-racism-body-presented-key-trends-in-europe-in-2022" TargetMode="External"/><Relationship Id="rId11" Type="http://schemas.openxmlformats.org/officeDocument/2006/relationships/hyperlink" Target="https://www.ilga-europe.org/report/a-complex-picture-of-progress/" TargetMode="External"/><Relationship Id="rId12" Type="http://schemas.openxmlformats.org/officeDocument/2006/relationships/hyperlink" Target="https://zn.ua/europe/v-sovete-evropy-otmetili-prohress-ukrainy-v-borbe-s-diskriminatsiej-no-prizvali-usilit-zashchitu-romov-i-lhbti.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