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Gender-Affirming Care Needs More Than Medicine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gender-affirming care need more than prescriptions and procedures. A growing, community-minded approach brings clinicians together with peers, coaches, advocates and other trusted experts, helping transgender and gender-diverse people find practical support for confidence, connection and life beyond the consulting room.</w:t>
      </w:r>
      <w:r/>
    </w:p>
    <w:p>
      <w:pPr>
        <w:pStyle w:val="Heading2"/>
      </w:pPr>
      <w:r>
        <w:t>Essential Takeaways</w:t>
      </w:r>
      <w:r/>
      <w:r/>
    </w:p>
    <w:p>
      <w:pPr>
        <w:pStyle w:val="ListBullet"/>
        <w:spacing w:line="240" w:lineRule="auto"/>
        <w:ind w:left="720"/>
      </w:pPr>
      <w:r/>
      <w:r>
        <w:rPr>
          <w:b/>
        </w:rPr>
        <w:t>Medicine still matters:</w:t>
      </w:r>
      <w:r>
        <w:t xml:space="preserve"> Hormones, surgery, prevention and primary care remain important parts of gender-affirming healthcare.</w:t>
      </w:r>
      <w:r/>
    </w:p>
    <w:p>
      <w:pPr>
        <w:pStyle w:val="ListBullet"/>
        <w:spacing w:line="240" w:lineRule="auto"/>
        <w:ind w:left="720"/>
      </w:pPr>
      <w:r/>
      <w:r>
        <w:rPr>
          <w:b/>
        </w:rPr>
        <w:t>Community knowledge counts:</w:t>
      </w:r>
      <w:r>
        <w:t xml:space="preserve"> Trans people have long shared practical guidance about bodies, healthcare and identity.</w:t>
      </w:r>
      <w:r/>
    </w:p>
    <w:p>
      <w:pPr>
        <w:pStyle w:val="ListBullet"/>
        <w:spacing w:line="240" w:lineRule="auto"/>
        <w:ind w:left="720"/>
      </w:pPr>
      <w:r/>
      <w:r>
        <w:rPr>
          <w:b/>
        </w:rPr>
        <w:t>Some needs sit outside diagnosis:</w:t>
      </w:r>
      <w:r>
        <w:t xml:space="preserve"> Confidence, movement, relationships and personal style aren't medical problems to solve.</w:t>
      </w:r>
      <w:r/>
    </w:p>
    <w:p>
      <w:pPr>
        <w:pStyle w:val="ListBullet"/>
        <w:spacing w:line="240" w:lineRule="auto"/>
        <w:ind w:left="720"/>
      </w:pPr>
      <w:r/>
      <w:r>
        <w:rPr>
          <w:b/>
        </w:rPr>
        <w:t>Humility improves care:</w:t>
      </w:r>
      <w:r>
        <w:t xml:space="preserve"> Clinicians can offer better support when they recognise the limits of their expertise.</w:t>
      </w:r>
      <w:r/>
    </w:p>
    <w:p>
      <w:pPr>
        <w:pStyle w:val="ListBullet"/>
        <w:spacing w:line="240" w:lineRule="auto"/>
        <w:ind w:left="720"/>
      </w:pPr>
      <w:r/>
      <w:r>
        <w:rPr>
          <w:b/>
        </w:rPr>
        <w:t>Collaboration is growing:</w:t>
      </w:r>
      <w:r>
        <w:t xml:space="preserve"> Research highlights the value of respectful, patient-centred partnerships between communities and healthcare professionals.</w:t>
      </w:r>
      <w:r/>
      <w:r/>
    </w:p>
    <w:p>
      <w:pPr>
        <w:pStyle w:val="Heading2"/>
      </w:pPr>
      <w:r>
        <w:t>Gender-affirming care is bigger than a prescription</w:t>
      </w:r>
      <w:r/>
    </w:p>
    <w:p>
      <w:r/>
      <w:r>
        <w:t>A prescription can change a life, but it can't answer every question that comes with inhabiting a body. Someone may want medical advice about hormones while also wondering how to feel comfortable exercising, explain their needs to a partner or build a wardrobe that feels genuinely theirs.</w:t>
      </w:r>
      <w:r/>
    </w:p>
    <w:p>
      <w:r/>
      <w:r>
        <w:t xml:space="preserve">That gap is at the heart of a wider conversation about gender-affirming care. QueerDoc argues that medicine should remain part of the picture without pretending it's the whole picture. Research on gender-affirming healthcare similarly points to the importance of care that's respectful, collaborative and responsive to patients' lived realities. </w:t>
      </w:r>
      <w:hyperlink r:id="rId9">
        <w:r>
          <w:rPr>
            <w:color w:val="0000EE"/>
            <w:u w:val="single"/>
          </w:rPr>
          <w:t>[3]</w:t>
        </w:r>
      </w:hyperlink>
      <w:r>
        <w:t xml:space="preserve">, </w:t>
      </w:r>
      <w:hyperlink r:id="rId10">
        <w:r>
          <w:rPr>
            <w:color w:val="0000EE"/>
            <w:u w:val="single"/>
          </w:rPr>
          <w:t>[4]</w:t>
        </w:r>
      </w:hyperlink>
      <w:r/>
    </w:p>
    <w:p>
      <w:r/>
      <w:r>
        <w:t>This isn't an argument against biomedicine. Vaccines, antibiotics, surgery, hormone therapy and preventive care have made an enormous difference. The point is that clinical expertise works best when it's paired with the knowledge people carry from their own lives and communities.</w:t>
      </w:r>
      <w:r/>
    </w:p>
    <w:p>
      <w:pPr>
        <w:pStyle w:val="Heading2"/>
      </w:pPr>
      <w:r>
        <w:t>Why community expertise deserves a seat at the table</w:t>
      </w:r>
      <w:r/>
    </w:p>
    <w:p>
      <w:r/>
      <w:r>
        <w:t>For many transgender and gender-diverse people, community networks have been practical lifelines. People have exchanged information about navigating services, understanding physical changes and finding providers who listen, often well before formal training caught up.</w:t>
      </w:r>
      <w:r/>
    </w:p>
    <w:p>
      <w:r/>
      <w:r>
        <w:t xml:space="preserve">That history matters because healthcare hasn't always treated marginalised communities fairly. Medical systems have sometimes labelled difference as illness, while institutional practices have excluded or controlled the very people seeking help. The American Medical Association's ethics discussion on oppressive diagnostic labels shows why language and classification deserve careful scrutiny, particularly when they affect dignity and access to care. </w:t>
      </w:r>
      <w:hyperlink r:id="rId11">
        <w:r>
          <w:rPr>
            <w:color w:val="0000EE"/>
            <w:u w:val="single"/>
          </w:rPr>
          <w:t>[6]</w:t>
        </w:r>
      </w:hyperlink>
      <w:r/>
    </w:p>
    <w:p>
      <w:r/>
      <w:r>
        <w:t>Community-led knowledge doesn't replace clinical evidence. Instead, it can reveal what formal systems miss, from the anxiety of a first appointment to the relief of finding a clinician who understands the difference between treating a body and supporting a person.</w:t>
      </w:r>
      <w:r/>
    </w:p>
    <w:p>
      <w:pPr>
        <w:pStyle w:val="Heading2"/>
      </w:pPr>
      <w:r>
        <w:t>The questions no clinician can answer alone</w:t>
      </w:r>
      <w:r/>
    </w:p>
    <w:p>
      <w:r/>
      <w:r>
        <w:t>A doctor can discuss treatment options, monitor health and explain potential risks. But questions such as "How can I feel at home in my body?" or "How do I build relationships that affirm me?" need a broader kind of support.</w:t>
      </w:r>
      <w:r/>
    </w:p>
    <w:p>
      <w:r/>
      <w:r>
        <w:t>Movement professionals, counsellors, educators, peer groups, artists, advocates and trusted friends may each contribute something useful. A coach might help someone approach exercise with confidence. A peer mentor may offer practical reassurance. An advocate could help a patient challenge an inaccessible system.</w:t>
      </w:r>
      <w:r/>
    </w:p>
    <w:p>
      <w:r/>
      <w:r>
        <w:t xml:space="preserve">Studies examining gender-affirming care repeatedly underline the value of listening to patients and involving community perspectives. That matters especially when healthcare decisions are shaped by policies, gatekeeping or institutional assumptions rather than by the individual in front of the clinician. </w:t>
      </w:r>
      <w:hyperlink r:id="rId12">
        <w:r>
          <w:rPr>
            <w:color w:val="0000EE"/>
            <w:u w:val="single"/>
          </w:rPr>
          <w:t>[2]</w:t>
        </w:r>
      </w:hyperlink>
      <w:r>
        <w:t xml:space="preserve">, </w:t>
      </w:r>
      <w:hyperlink r:id="rId10">
        <w:r>
          <w:rPr>
            <w:color w:val="0000EE"/>
            <w:u w:val="single"/>
          </w:rPr>
          <w:t>[4]</w:t>
        </w:r>
      </w:hyperlink>
      <w:r>
        <w:t xml:space="preserve">, </w:t>
      </w:r>
      <w:hyperlink r:id="rId13">
        <w:r>
          <w:rPr>
            <w:color w:val="0000EE"/>
            <w:u w:val="single"/>
          </w:rPr>
          <w:t>[5]</w:t>
        </w:r>
      </w:hyperlink>
      <w:r/>
    </w:p>
    <w:p>
      <w:pPr>
        <w:pStyle w:val="Heading2"/>
      </w:pPr>
      <w:r>
        <w:t>Knowing when to refer is a strength</w:t>
      </w:r>
      <w:r/>
    </w:p>
    <w:p>
      <w:r/>
      <w:r>
        <w:t>The best clinicians don't need to be experts in everything. They need to know what they can safely provide, where their knowledge ends and who else might help.</w:t>
      </w:r>
      <w:r/>
    </w:p>
    <w:p>
      <w:r/>
      <w:r>
        <w:t>That sounds simple, but it's a meaningful shift from the idea that one appointment, one professional or one service should carry every part of a person's wellbeing. In practice, it might mean referring someone to a suitably qualified therapist, a peer-support organisation, a movement specialist or an advocate familiar with local services.</w:t>
      </w:r>
      <w:r/>
    </w:p>
    <w:p>
      <w:r/>
      <w:r>
        <w:t>Patients can help shape that process, too. Before an appointment, it may be useful to separate medical questions from wider goals, then ask what support is available for each. A good referral should be transparent about qualifications, confidentiality, cost and whether the service is genuinely affirming, not merely using the language.</w:t>
      </w:r>
      <w:r/>
    </w:p>
    <w:p>
      <w:pPr>
        <w:pStyle w:val="Heading2"/>
      </w:pPr>
      <w:r>
        <w:t>A more connected future for gender care</w:t>
      </w:r>
      <w:r/>
    </w:p>
    <w:p>
      <w:r/>
      <w:r>
        <w:t xml:space="preserve">The emerging model is less about creating a single all-purpose service and more about building a trustworthy network. QueerDoc says it plans to work with educators, coaches, advocates and other collaborators alongside its medical provision, reflecting a broader interest in care that is evidence-informed, patient-centred and attentive to structural inequality. </w:t>
      </w:r>
      <w:hyperlink r:id="rId14">
        <w:r>
          <w:rPr>
            <w:color w:val="0000EE"/>
            <w:u w:val="single"/>
          </w:rPr>
          <w:t>[1]</w:t>
        </w:r>
      </w:hyperlink>
      <w:r>
        <w:t xml:space="preserve">, </w:t>
      </w:r>
      <w:hyperlink r:id="rId15">
        <w:r>
          <w:rPr>
            <w:color w:val="0000EE"/>
            <w:u w:val="single"/>
          </w:rPr>
          <w:t>[7]</w:t>
        </w:r>
      </w:hyperlink>
      <w:r/>
    </w:p>
    <w:p>
      <w:r/>
      <w:r>
        <w:t xml:space="preserve">That approach also fits a wider healthcare lesson: trust grows when people feel heard, respected and involved. Research on professional and community perspectives suggests that collaboration can make services more responsive, although it needs clear boundaries and accountability to work well. </w:t>
      </w:r>
      <w:hyperlink r:id="rId10">
        <w:r>
          <w:rPr>
            <w:color w:val="0000EE"/>
            <w:u w:val="single"/>
          </w:rPr>
          <w:t>[4]</w:t>
        </w:r>
      </w:hyperlink>
      <w:r>
        <w:t xml:space="preserve">, </w:t>
      </w:r>
      <w:hyperlink r:id="rId15">
        <w:r>
          <w:rPr>
            <w:color w:val="0000EE"/>
            <w:u w:val="single"/>
          </w:rPr>
          <w:t>[7]</w:t>
        </w:r>
      </w:hyperlink>
      <w:r/>
    </w:p>
    <w:p>
      <w:r/>
      <w:r>
        <w:t>For patients, the result could be a gentler journey through care, with fewer moments of having to explain everything from scratch. Medicine remains essential, but it doesn't have to carry the whole emotional and practical weight of becoming more at home in yourself.</w:t>
      </w:r>
      <w:r/>
    </w:p>
    <w:p>
      <w:r/>
      <w:r>
        <w:t>It's a small change in mindset, but it can make gender-affirming care feel far more human.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w:t>
      </w:r>
      <w:hyperlink r:id="rId12">
        <w:r>
          <w:rPr>
            <w:color w:val="0000EE"/>
            <w:u w:val="single"/>
          </w:rPr>
          <w:t>[2]</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[2]</w:t>
        </w:r>
      </w:hyperlink>
      <w:r>
        <w:t xml:space="preserve">, </w:t>
      </w:r>
      <w:hyperlink r:id="rId10">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4">
        <w:r>
          <w:rPr>
            <w:color w:val="0000EE"/>
            <w:u w:val="single"/>
          </w:rPr>
          <w:t>[1]</w:t>
        </w:r>
      </w:hyperlink>
      <w:r>
        <w:t xml:space="preserve">, </w:t>
      </w:r>
      <w:hyperlink r:id="rId15">
        <w:r>
          <w:rPr>
            <w:color w:val="0000EE"/>
            <w:u w:val="single"/>
          </w:rPr>
          <w:t>[7]</w:t>
        </w:r>
      </w:hyperlink>
      <w:r>
        <w:t xml:space="preserve">- Paragraph 7: </w:t>
      </w:r>
      <w:hyperlink r:id="rId10">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https://queerdoc.com/health-is-bigger-than-medicine-community-healers/</w:t>
        </w:r>
      </w:hyperlink>
      <w:r>
        <w:t xml:space="preserve"> - Please view link - unable to able to access data</w:t>
      </w:r>
      <w:r/>
    </w:p>
    <w:p>
      <w:pPr>
        <w:pStyle w:val="ListNumber"/>
        <w:spacing w:line="240" w:lineRule="auto"/>
        <w:ind w:left="720"/>
      </w:pPr>
      <w:r/>
      <w:hyperlink r:id="rId12">
        <w:r>
          <w:rPr>
            <w:color w:val="0000EE"/>
            <w:u w:val="single"/>
          </w:rPr>
          <w:t>https://www.cambridge.org/core/journals/journal-of-law-medicine-and-ethics/article/statemandated-ethics-oversight-is-inappropriate-for-genderaffirming-care/063C7366A6DBE5E4406E0B5793B0593B</w:t>
        </w:r>
      </w:hyperlink>
      <w:r>
        <w:t xml:space="preserve"> - This article discusses the inappropriateness of state-mandated ethics oversight for gender-affirming care. It critiques a proposed Ohio rule requiring medical ethicists to review gender-affirming care plans, arguing that such oversight lacks justification compared to other state-mandated ethics reviews. The authors express concerns that this approach could undermine trust, present practical challenges, and convey harmful messages to society, patients, and healthcare providers. The piece emphasizes the importance of maintaining ethical standards without imposing unnecessary bureaucratic hurdles on gender-affirming healthcare practices.</w:t>
      </w:r>
      <w:r/>
    </w:p>
    <w:p>
      <w:pPr>
        <w:pStyle w:val="ListNumber"/>
        <w:spacing w:line="240" w:lineRule="auto"/>
        <w:ind w:left="720"/>
      </w:pPr>
      <w:r/>
      <w:hyperlink r:id="rId9">
        <w:r>
          <w:rPr>
            <w:color w:val="0000EE"/>
            <w:u w:val="single"/>
          </w:rPr>
          <w:t>https://pmc.ncbi.nlm.nih.gov/articles/PMC8861822/</w:t>
        </w:r>
      </w:hyperlink>
      <w:r>
        <w:t xml:space="preserve"> - This commentary examines how scientific frameworks have historically constrained transgender individuals' access to gender-affirming care. It highlights the requirement of a gender dysphoria diagnosis, rooted in outdated psychological theories, as a barrier to care. The authors provide recommendations to address these constraints, advocating for a more inclusive and affirming approach to transgender healthcare that moves beyond pathologizing diagnoses and acknowledges the diverse experiences of transgender individuals.</w:t>
      </w:r>
      <w:r/>
    </w:p>
    <w:p>
      <w:pPr>
        <w:pStyle w:val="ListNumber"/>
        <w:spacing w:line="240" w:lineRule="auto"/>
        <w:ind w:left="720"/>
      </w:pPr>
      <w:r/>
      <w:hyperlink r:id="rId10">
        <w:r>
          <w:rPr>
            <w:color w:val="0000EE"/>
            <w:u w:val="single"/>
          </w:rPr>
          <w:t>https://www.researchgate.net/publication/353936096_Understanding_community_member_and_health_care_professional_perspectives_on_gender-affirming_care-A_qualitative_study</w:t>
        </w:r>
      </w:hyperlink>
      <w:r>
        <w:t xml:space="preserve"> - This qualitative study explores the perspectives of community members and healthcare professionals on gender-affirming care. It identifies barriers to accessing affirming health services and suggests solutions, including systems-level improvements within existing services, expanded mental health services, and inclusive healthcare environments. The study emphasizes the need for community outreach and engagement, such as incorporating patient feedback processes and resource mapping, to enhance the accessibility and quality of gender-affirming care.</w:t>
      </w:r>
      <w:r/>
    </w:p>
    <w:p>
      <w:pPr>
        <w:pStyle w:val="ListNumber"/>
        <w:spacing w:line="240" w:lineRule="auto"/>
        <w:ind w:left="720"/>
      </w:pPr>
      <w:r/>
      <w:hyperlink r:id="rId13">
        <w:r>
          <w:rPr>
            <w:color w:val="0000EE"/>
            <w:u w:val="single"/>
          </w:rPr>
          <w:t>https://pmc.ncbi.nlm.nih.gov/articles/PMC10802986/</w:t>
        </w:r>
      </w:hyperlink>
      <w:r>
        <w:t xml:space="preserve"> - This research identifies health system and community-level barriers that pediatric primary care providers face in delivering gender-affirming care to transgender and gender diverse youth. Health system barriers include lack of foundational knowledge, limited clinical decision-making support, and design limitations. Community-level barriers encompass biases, provider attitudes, and challenges in identifying supportive resources. The study underscores the necessity to overcome these barriers to ensure timely and equitable gender-affirming care for transgender and gender diverse youth.</w:t>
      </w:r>
      <w:r/>
    </w:p>
    <w:p>
      <w:pPr>
        <w:pStyle w:val="ListNumber"/>
        <w:spacing w:line="240" w:lineRule="auto"/>
        <w:ind w:left="720"/>
      </w:pPr>
      <w:r/>
      <w:hyperlink r:id="rId11">
        <w:r>
          <w:rPr>
            <w:color w:val="0000EE"/>
            <w:u w:val="single"/>
          </w:rPr>
          <w:t>https://journalofethics.ama-assn.org/article/what-past-suggests-about-when-diagnostic-label-oppressive/2023-06</w:t>
        </w:r>
      </w:hyperlink>
      <w:r>
        <w:t xml:space="preserve"> - This article examines the evolution of terminology describing transgender and gender diverse identities over the past 80 years, noting a shift from pathologizing terms to less stigmatizing language. It discusses how terms like 'gender incongruence' continue to be sources of oppression and suggests that an all-encompassing term might be experienced as either empowering or abusive. The piece draws on historical perspectives to guide clinicians in using diagnostic and intervention language that is sensitive to patients' experiences.</w:t>
      </w:r>
      <w:r/>
    </w:p>
    <w:p>
      <w:pPr>
        <w:pStyle w:val="ListNumber"/>
        <w:spacing w:line="240" w:lineRule="auto"/>
        <w:ind w:left="720"/>
      </w:pPr>
      <w:r/>
      <w:hyperlink r:id="rId15">
        <w:r>
          <w:rPr>
            <w:color w:val="0000EE"/>
            <w:u w:val="single"/>
          </w:rPr>
          <w:t>https://journals.sagepub.com/doi/10.1177/23821205251403022</w:t>
        </w:r>
      </w:hyperlink>
      <w:r>
        <w:t xml:space="preserve"> - This article discusses the evolving landscape of transgender healthcare in the United States, particularly in light of policy shifts following the 2024 presidential election and Executive Order 14168. The order mandates a binary understanding of gender based on biological sex assigned at birth and imposes constraints on federal funding, academic freedom, and access to medical training related to gender-affirming care. The authors highlight the challenges these developments pose to medical training and the provision of gender-affirming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mc.ncbi.nlm.nih.gov/articles/PMC8861822/" TargetMode="External"/><Relationship Id="rId10" Type="http://schemas.openxmlformats.org/officeDocument/2006/relationships/hyperlink" Target="https://www.researchgate.net/publication/353936096_Understanding_community_member_and_health_care_professional_perspectives_on_gender-affirming_care-A_qualitative_study" TargetMode="External"/><Relationship Id="rId11" Type="http://schemas.openxmlformats.org/officeDocument/2006/relationships/hyperlink" Target="https://journalofethics.ama-assn.org/article/what-past-suggests-about-when-diagnostic-label-oppressive/2023-06" TargetMode="External"/><Relationship Id="rId12" Type="http://schemas.openxmlformats.org/officeDocument/2006/relationships/hyperlink" Target="https://www.cambridge.org/core/journals/journal-of-law-medicine-and-ethics/article/statemandated-ethics-oversight-is-inappropriate-for-genderaffirming-care/063C7366A6DBE5E4406E0B5793B0593B" TargetMode="External"/><Relationship Id="rId13" Type="http://schemas.openxmlformats.org/officeDocument/2006/relationships/hyperlink" Target="https://pmc.ncbi.nlm.nih.gov/articles/PMC10802986/" TargetMode="External"/><Relationship Id="rId14" Type="http://schemas.openxmlformats.org/officeDocument/2006/relationships/hyperlink" Target="https://queerdoc.com/health-is-bigger-than-medicine-community-healers/" TargetMode="External"/><Relationship Id="rId15" Type="http://schemas.openxmlformats.org/officeDocument/2006/relationships/hyperlink" Target="https://journals.sagepub.com/doi/10.1177/23821205251403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