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Edie Windsor’s Marriage Equality Legacy Still Matters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Supporters of marriage equality are still looking to Edie Windsor’s story for courage, context and a reminder of what legal change can mean in daily life. Her challenge to DOMA helped reshape federal recognition of same-sex marriages, while her widow, Judith Kasen Windsor, continues sharing the personal story behind a landmark LGBTQ+ rights victory.</w:t>
      </w:r>
      <w:r/>
    </w:p>
    <w:p>
      <w:pPr>
        <w:pStyle w:val="Heading2"/>
      </w:pPr>
      <w:r>
        <w:t>Essential Takeaways</w:t>
      </w:r>
      <w:r/>
      <w:r/>
    </w:p>
    <w:p>
      <w:pPr>
        <w:pStyle w:val="ListBullet"/>
        <w:spacing w:line="240" w:lineRule="auto"/>
        <w:ind w:left="720"/>
      </w:pPr>
      <w:r/>
      <w:r>
        <w:rPr>
          <w:b/>
        </w:rPr>
        <w:t>A landmark challenge:</w:t>
      </w:r>
      <w:r>
        <w:t xml:space="preserve"> Edie Windsor’s case challenged the federal section of DOMA that refused to recognise lawful same-sex marriages.</w:t>
      </w:r>
      <w:r/>
    </w:p>
    <w:p>
      <w:pPr>
        <w:pStyle w:val="ListBullet"/>
        <w:spacing w:line="240" w:lineRule="auto"/>
        <w:ind w:left="720"/>
      </w:pPr>
      <w:r/>
      <w:r>
        <w:rPr>
          <w:b/>
        </w:rPr>
        <w:t>A major legal shift:</w:t>
      </w:r>
      <w:r>
        <w:t xml:space="preserve"> The Supreme Court’s ruling in </w:t>
      </w:r>
      <w:r>
        <w:rPr>
          <w:i/>
        </w:rPr>
        <w:t>United States v Windsor</w:t>
      </w:r>
      <w:r>
        <w:t xml:space="preserve"> helped clear the way for nationwide marriage equality.</w:t>
      </w:r>
      <w:r/>
    </w:p>
    <w:p>
      <w:pPr>
        <w:pStyle w:val="ListBullet"/>
        <w:spacing w:line="240" w:lineRule="auto"/>
        <w:ind w:left="720"/>
      </w:pPr>
      <w:r/>
      <w:r>
        <w:rPr>
          <w:b/>
        </w:rPr>
        <w:t>Visibility matters:</w:t>
      </w:r>
      <w:r>
        <w:t xml:space="preserve"> The legal victories changed paperwork and benefits, but also helped more LGBTQ+ couples live openly.</w:t>
      </w:r>
      <w:r/>
    </w:p>
    <w:p>
      <w:pPr>
        <w:pStyle w:val="ListBullet"/>
        <w:spacing w:line="240" w:lineRule="auto"/>
        <w:ind w:left="720"/>
      </w:pPr>
      <w:r/>
      <w:r>
        <w:rPr>
          <w:b/>
        </w:rPr>
        <w:t>Rights still need defending:</w:t>
      </w:r>
      <w:r>
        <w:t xml:space="preserve"> Marriage equality remains legally significant, particularly where older state bans remain on the books.</w:t>
      </w:r>
      <w:r/>
    </w:p>
    <w:p>
      <w:pPr>
        <w:pStyle w:val="ListBullet"/>
        <w:spacing w:line="240" w:lineRule="auto"/>
        <w:ind w:left="720"/>
      </w:pPr>
      <w:r/>
      <w:r>
        <w:rPr>
          <w:b/>
        </w:rPr>
        <w:t>Legacy through storytelling:</w:t>
      </w:r>
      <w:r>
        <w:t xml:space="preserve"> Judith Kasen Windsor keeps Edie’s work visible by speaking to students, neighbours and strangers.</w:t>
      </w:r>
      <w:r/>
      <w:r/>
    </w:p>
    <w:p>
      <w:pPr>
        <w:pStyle w:val="Heading2"/>
      </w:pPr>
      <w:r>
        <w:t>The case that changed federal recognition</w:t>
      </w:r>
      <w:r/>
    </w:p>
    <w:p>
      <w:r/>
      <w:r>
        <w:t>The emotional force of Edie Windsor’s story begins with a deeply practical injustice. After the death of her wife, Thea Spyer, Windsor faced a large federal estate-tax bill because the government refused to treat their marriage like a different-sex marriage.</w:t>
      </w:r>
      <w:r/>
    </w:p>
    <w:p>
      <w:r/>
      <w:r>
        <w:t xml:space="preserve">That dispute became </w:t>
      </w:r>
      <w:r>
        <w:rPr>
          <w:i/>
        </w:rPr>
        <w:t>United States v Windsor</w:t>
      </w:r>
      <w:r>
        <w:t>, a case that reached the Supreme Court in 2013. The court struck down Section 3 of the Defense of Marriage Act, or DOMA, finding that the federal government couldn’t dismiss marriages recognised by the states simply because the spouses were of the same sex, according to the Supreme Court’s opinion.</w:t>
      </w:r>
      <w:r/>
    </w:p>
    <w:p>
      <w:r/>
      <w:r>
        <w:t>In everyday terms, the ruling was about far more than a tax bill. It touched benefits, inheritance, healthcare decisions and the basic dignity of having a spouse recognised by the country. As Cornell Law School explains, the decision invalidated DOMA’s federal definition of marriage and became a critical step towards broader equality.</w:t>
      </w:r>
      <w:r/>
    </w:p>
    <w:p>
      <w:pPr>
        <w:pStyle w:val="Heading2"/>
      </w:pPr>
      <w:r>
        <w:t>From one victory to marriage equality nationwide</w:t>
      </w:r>
      <w:r/>
    </w:p>
    <w:p>
      <w:r/>
      <w:r>
        <w:t xml:space="preserve">Windsor’s case didn’t immediately require every state to issue same-sex marriage licences. That came two years later, when the Supreme Court decided </w:t>
      </w:r>
      <w:r>
        <w:rPr>
          <w:i/>
        </w:rPr>
        <w:t>Obergefell v Hodges</w:t>
      </w:r>
      <w:r>
        <w:t>.</w:t>
      </w:r>
      <w:r/>
    </w:p>
    <w:p>
      <w:r/>
      <w:r>
        <w:t>In 2015, the court held that the Fourteenth Amendment protects the right of same-sex couples to marry, as well as the right to have those marriages recognised across state lines. Legal analysis from Faegre Drinker describes the decision as a constitutional guarantee of both licensing and recognition, tying marriage to liberty and equal protection.</w:t>
      </w:r>
      <w:r/>
    </w:p>
    <w:p>
      <w:r/>
      <w:r>
        <w:t xml:space="preserve">The sequence matters. </w:t>
      </w:r>
      <w:r>
        <w:rPr>
          <w:i/>
        </w:rPr>
        <w:t>Windsor</w:t>
      </w:r>
      <w:r>
        <w:t xml:space="preserve"> removed a major federal barrier, while </w:t>
      </w:r>
      <w:r>
        <w:rPr>
          <w:i/>
        </w:rPr>
        <w:t>Obergefell</w:t>
      </w:r>
      <w:r>
        <w:t xml:space="preserve"> established a nationwide rule. Together, the cases transformed marriage from a patchwork of state permissions into a right couples could rely on throughout the United States.</w:t>
      </w:r>
      <w:r/>
    </w:p>
    <w:p>
      <w:pPr>
        <w:pStyle w:val="Heading2"/>
      </w:pPr>
      <w:r>
        <w:t>Why visibility became part of the victory</w:t>
      </w:r>
      <w:r/>
    </w:p>
    <w:p>
      <w:r/>
      <w:r>
        <w:t>Judith Kasen Windsor’s reflections add something court opinions can’t: the texture of life before the legal change. Holding hands in public could feel risky, especially for older LGBTQ+ people who had spent decades weighing safety against openness.</w:t>
      </w:r>
      <w:r/>
    </w:p>
    <w:p>
      <w:r/>
      <w:r>
        <w:t>That’s why a couple walking together in a park can carry such meaning. Legal recognition may arrive in a judgment, but social confidence grows more slowly, through ordinary gestures, visible families and the quiet relief of not having to let go at the street corner.</w:t>
      </w:r>
      <w:r/>
    </w:p>
    <w:p>
      <w:r/>
      <w:r>
        <w:t>The shift also challenged tired assumptions about LGBTQ+ lives. Edie Windsor was not only a plaintiff in a historic case, but a technology professional, spouse and public figure whose life helped broaden the picture of who LGBTQ+ Americans are. Her story made the movement feel personal rather than abstract.</w:t>
      </w:r>
      <w:r/>
    </w:p>
    <w:p>
      <w:pPr>
        <w:pStyle w:val="Heading2"/>
      </w:pPr>
      <w:r>
        <w:t>What the rulings changed in practical terms</w:t>
      </w:r>
      <w:r/>
    </w:p>
    <w:p>
      <w:r/>
      <w:r>
        <w:t>For couples, federal recognition can affect taxes, inheritance, Social Security, employee benefits and immigration status. The legal protections aren’t decorative; they can shape whether a surviving spouse receives property, whether a partner can access benefits, or whether a family is treated consistently by public institutions.</w:t>
      </w:r>
      <w:r/>
    </w:p>
    <w:p>
      <w:r/>
      <w:r>
        <w:t xml:space="preserve">The Supreme Court’s </w:t>
      </w:r>
      <w:r>
        <w:rPr>
          <w:i/>
        </w:rPr>
        <w:t>Obergefell</w:t>
      </w:r>
      <w:r>
        <w:t xml:space="preserve"> decision also addressed the problem of couples being married in one state but treated as strangers in another. Cornell’s case summary notes that states must both license same-sex marriages and recognise such marriages performed elsewhere.</w:t>
      </w:r>
      <w:r/>
    </w:p>
    <w:p>
      <w:r/>
      <w:r>
        <w:t xml:space="preserve">There’s still a useful lesson here for anyone trying to understand the cases: </w:t>
      </w:r>
      <w:r>
        <w:rPr>
          <w:i/>
        </w:rPr>
        <w:t>Windsor</w:t>
      </w:r>
      <w:r>
        <w:t xml:space="preserve"> and </w:t>
      </w:r>
      <w:r>
        <w:rPr>
          <w:i/>
        </w:rPr>
        <w:t>Obergefell</w:t>
      </w:r>
      <w:r>
        <w:t xml:space="preserve"> did different jobs. One dismantled federal non-recognition under DOMA; the other made marriage equality a nationwide constitutional requirement. Keeping that distinction clear makes the legal history much easier to follow.</w:t>
      </w:r>
      <w:r/>
    </w:p>
    <w:p>
      <w:pPr>
        <w:pStyle w:val="Heading2"/>
      </w:pPr>
      <w:r>
        <w:t>The fight is remembered one conversation at a time</w:t>
      </w:r>
      <w:r/>
    </w:p>
    <w:p>
      <w:r/>
      <w:r>
        <w:t>Kasen Windsor’s approach is strikingly simple: tell people who Edie was. A street sign, a conversation with a student or an offhand question can become an opening to explain how one couple’s loss exposed a national inequality.</w:t>
      </w:r>
      <w:r/>
    </w:p>
    <w:p>
      <w:r/>
      <w:r>
        <w:t>That work matters because rights can sound permanent until public memory fades. Older state bans on same-sex marriage may be unenforceable, but their existence is a reminder that legal progress still depends on institutions, voters and communities taking equality seriously.</w:t>
      </w:r>
      <w:r/>
    </w:p>
    <w:p>
      <w:r/>
      <w:r>
        <w:t>Edie Windsor’s legacy therefore lives in two places at once: in Supreme Court precedent and in personal stories. The first changed the rules. The second helps people understand why those rules mattered in the first place.</w:t>
      </w:r>
      <w:r/>
    </w:p>
    <w:p>
      <w:r/>
      <w:r>
        <w:t>Her story remains a powerful reminder that legal change can begin with one family asking to be treated fairly.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1">
        <w:r>
          <w:rPr>
            <w:color w:val="0000EE"/>
            <w:u w:val="single"/>
          </w:rPr>
          <w:t>[7]</w:t>
        </w:r>
      </w:hyperlink>
      <w:r>
        <w:t xml:space="preserve">- Paragraph 3: </w:t>
      </w:r>
      <w:hyperlink r:id="rId10">
        <w:r>
          <w:rPr>
            <w:color w:val="0000EE"/>
            <w:u w:val="single"/>
          </w:rPr>
          <w:t>[6]</w:t>
        </w:r>
      </w:hyperlink>
      <w:r>
        <w:t xml:space="preserve">, </w:t>
      </w:r>
      <w:hyperlink r:id="rId12">
        <w:r>
          <w:rPr>
            <w:color w:val="0000EE"/>
            <w:u w:val="single"/>
          </w:rPr>
          <w:t>[3]</w:t>
        </w:r>
      </w:hyperlink>
      <w:r>
        <w:t xml:space="preserve">- Paragraph 4: </w:t>
      </w:r>
      <w:hyperlink r:id="rId13">
        <w:r>
          <w:rPr>
            <w:color w:val="0000EE"/>
            <w:u w:val="single"/>
          </w:rPr>
          <w:t>[2]</w:t>
        </w:r>
      </w:hyperlink>
      <w:r>
        <w:t xml:space="preserve">, </w:t>
      </w:r>
      <w:hyperlink r:id="rId14">
        <w:r>
          <w:rPr>
            <w:color w:val="0000EE"/>
            <w:u w:val="single"/>
          </w:rPr>
          <w:t>[4]</w:t>
        </w:r>
      </w:hyperlink>
      <w:r>
        <w:t xml:space="preserve">- Paragraph 5: </w:t>
      </w:r>
      <w:hyperlink r:id="rId13">
        <w:r>
          <w:rPr>
            <w:color w:val="0000EE"/>
            <w:u w:val="single"/>
          </w:rPr>
          <w:t>[2]</w:t>
        </w:r>
      </w:hyperlink>
      <w:r>
        <w:t xml:space="preserve">, </w:t>
      </w:r>
      <w:hyperlink r:id="rId14">
        <w:r>
          <w:rPr>
            <w:color w:val="0000EE"/>
            <w:u w:val="single"/>
          </w:rPr>
          <w:t>[4]</w:t>
        </w:r>
      </w:hyperlink>
      <w:r>
        <w:t xml:space="preserve">- Paragraph 6: </w:t>
      </w:r>
      <w:hyperlink r:id="rId15">
        <w:r>
          <w:rPr>
            <w:color w:val="0000EE"/>
            <w:u w:val="single"/>
          </w:rPr>
          <w:t>[5]</w:t>
        </w:r>
      </w:hyperlink>
      <w:r>
        <w:t xml:space="preserve">, </w:t>
      </w:r>
      <w:hyperlink r:id="rId13">
        <w:r>
          <w:rPr>
            <w:color w:val="0000EE"/>
            <w:u w:val="single"/>
          </w:rPr>
          <w:t>[2]</w:t>
        </w:r>
      </w:hyperlink>
      <w:r>
        <w:t xml:space="preserve">- Paragraph 7: </w:t>
      </w:r>
      <w:hyperlink r:id="rId10">
        <w:r>
          <w:rPr>
            <w:color w:val="0000EE"/>
            <w:u w:val="single"/>
          </w:rPr>
          <w:t>[6]</w:t>
        </w:r>
      </w:hyperlink>
      <w:r>
        <w:t xml:space="preserve">, </w:t>
      </w:r>
      <w:hyperlink r:id="rId11">
        <w:r>
          <w:rPr>
            <w:color w:val="0000EE"/>
            <w:u w:val="single"/>
          </w:rPr>
          <w:t>[7]</w:t>
        </w:r>
      </w:hyperlink>
      <w:r>
        <w:t xml:space="preserve">- Paragraph 8: </w:t>
      </w:r>
      <w:hyperlink r:id="rId13">
        <w:r>
          <w:rPr>
            <w:color w:val="0000EE"/>
            <w:u w:val="single"/>
          </w:rPr>
          <w:t>[2]</w:t>
        </w:r>
      </w:hyperlink>
      <w:r>
        <w:t xml:space="preserve">, </w:t>
      </w:r>
      <w:hyperlink r:id="rId14">
        <w:r>
          <w:rPr>
            <w:color w:val="0000EE"/>
            <w:u w:val="single"/>
          </w:rPr>
          <w:t>[4]</w:t>
        </w:r>
      </w:hyperlink>
      <w:r>
        <w:t xml:space="preserve">- Paragraph 9: </w:t>
      </w:r>
      <w:hyperlink r:id="rId15">
        <w:r>
          <w:rPr>
            <w:color w:val="0000EE"/>
            <w:u w:val="single"/>
          </w:rPr>
          <w:t>[5]</w:t>
        </w:r>
      </w:hyperlink>
      <w:r>
        <w:t xml:space="preserve">, </w:t>
      </w:r>
      <w:hyperlink r:id="rId11">
        <w:r>
          <w:rPr>
            <w:color w:val="0000EE"/>
            <w:u w:val="single"/>
          </w:rPr>
          <w:t>[7]</w:t>
        </w:r>
      </w:hyperlink>
      <w:r>
        <w:t xml:space="preserve">- Paragraph 10: </w:t>
      </w:r>
      <w:hyperlink r:id="rId13">
        <w:r>
          <w:rPr>
            <w:color w:val="0000EE"/>
            <w:u w:val="single"/>
          </w:rPr>
          <w:t>[2]</w:t>
        </w:r>
      </w:hyperlink>
      <w:r>
        <w:t xml:space="preserve">, </w:t>
      </w:r>
      <w:hyperlink r:id="rId14">
        <w:r>
          <w:rPr>
            <w:color w:val="0000EE"/>
            <w:u w:val="single"/>
          </w:rPr>
          <w:t>[4]</w:t>
        </w:r>
      </w:hyperlink>
      <w:r>
        <w:t xml:space="preserve">- Paragraph 11: </w:t>
      </w:r>
      <w:hyperlink r:id="rId12">
        <w:r>
          <w:rPr>
            <w:color w:val="0000EE"/>
            <w:u w:val="single"/>
          </w:rPr>
          <w:t>[3]</w:t>
        </w:r>
      </w:hyperlink>
      <w:r>
        <w:t xml:space="preserve">, </w:t>
      </w:r>
      <w:hyperlink r:id="rId10">
        <w:r>
          <w:rPr>
            <w:color w:val="0000EE"/>
            <w:u w:val="single"/>
          </w:rPr>
          <w:t>[6]</w:t>
        </w:r>
      </w:hyperlink>
      <w:r>
        <w:t xml:space="preserve">- Paragraph 12: </w:t>
      </w:r>
      <w:hyperlink r:id="rId13">
        <w:r>
          <w:rPr>
            <w:color w:val="0000EE"/>
            <w:u w:val="single"/>
          </w:rPr>
          <w:t>[2]</w:t>
        </w:r>
      </w:hyperlink>
      <w:r>
        <w:t xml:space="preserve">, </w:t>
      </w:r>
      <w:hyperlink r:id="rId15">
        <w:r>
          <w:rPr>
            <w:color w:val="0000EE"/>
            <w:u w:val="single"/>
          </w:rPr>
          <w:t>[5]</w:t>
        </w:r>
      </w:hyperlink>
      <w:r>
        <w:t xml:space="preserve">- Paragraph 13: </w:t>
      </w:r>
      <w:hyperlink r:id="rId14">
        <w:r>
          <w:rPr>
            <w:color w:val="0000EE"/>
            <w:u w:val="single"/>
          </w:rPr>
          <w:t>[4]</w:t>
        </w:r>
      </w:hyperlink>
      <w:r>
        <w:t xml:space="preserve">, </w:t>
      </w:r>
      <w:hyperlink r:id="rId11">
        <w:r>
          <w:rPr>
            <w:color w:val="0000EE"/>
            <w:u w:val="single"/>
          </w:rPr>
          <w:t>[7]</w:t>
        </w:r>
      </w:hyperlink>
      <w:r>
        <w:t xml:space="preserve">- Paragraph 14: </w:t>
      </w:r>
      <w:hyperlink r:id="rId13">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https://gomag.com/article/judith-kasen-windsor-on-edie-windsor-marriage-equality-and-the-fight-ahead/</w:t>
        </w:r>
      </w:hyperlink>
      <w:r>
        <w:t xml:space="preserve"> - Please view link - unable to able to access data</w:t>
      </w:r>
      <w:r/>
    </w:p>
    <w:p>
      <w:pPr>
        <w:pStyle w:val="ListNumber"/>
        <w:spacing w:line="240" w:lineRule="auto"/>
        <w:ind w:left="720"/>
      </w:pPr>
      <w:r/>
      <w:hyperlink r:id="rId13">
        <w:r>
          <w:rPr>
            <w:color w:val="0000EE"/>
            <w:u w:val="single"/>
          </w:rPr>
          <w:t>https://www.law.cornell.edu/wex/obergefell_v._hodges</w:t>
        </w:r>
      </w:hyperlink>
      <w:r>
        <w:t xml:space="preserve"> - The Legal Information Institute provides an overview of Obergefell v. Hodges, the 2015 Supreme Court decision that held state bans on same-sex marriage unconstitutional under the Fourteenth Amendment. The ruling concluded that the right to marry is a fundamental liberty protected by the Due Process Clause, and that denying same-sex couples access to marriage also violates the Equal Protection Clause. This landmark case legalized same-sex marriage nationwide in the United States.</w:t>
      </w:r>
      <w:r/>
    </w:p>
    <w:p>
      <w:pPr>
        <w:pStyle w:val="ListNumber"/>
        <w:spacing w:line="240" w:lineRule="auto"/>
        <w:ind w:left="720"/>
      </w:pPr>
      <w:r/>
      <w:hyperlink r:id="rId12">
        <w:r>
          <w:rPr>
            <w:color w:val="0000EE"/>
            <w:u w:val="single"/>
          </w:rPr>
          <w:t>https://www.law.cornell.edu/supremecourt/text/14-556</w:t>
        </w:r>
      </w:hyperlink>
      <w:r>
        <w:t xml:space="preserve"> - The Supreme Court's official syllabus for Obergefell v. Hodges outlines the case's background, questions presented, and the Court's decision. The case consolidated challenges from Michigan, Kentucky, Ohio, and Tennessee, where same-sex couples sought the right to marry and have their marriages recognized. The Court held that the Fourteenth Amendment requires states to license and recognize same-sex marriages, affirming marriage as a fundamental right for all individuals.</w:t>
      </w:r>
      <w:r/>
    </w:p>
    <w:p>
      <w:pPr>
        <w:pStyle w:val="ListNumber"/>
        <w:spacing w:line="240" w:lineRule="auto"/>
        <w:ind w:left="720"/>
      </w:pPr>
      <w:r/>
      <w:hyperlink r:id="rId14">
        <w:r>
          <w:rPr>
            <w:color w:val="0000EE"/>
            <w:u w:val="single"/>
          </w:rPr>
          <w:t>https://www.faegredrinker.com/en/insights/publications/2015/6/supreme-court-decides-obergefell-v-hodges</w:t>
        </w:r>
      </w:hyperlink>
      <w:r>
        <w:t xml:space="preserve"> - Faegre Drinker Biddle &amp; Reath LLP discusses the Supreme Court's decision in Obergefell v. Hodges, which resolved three consolidated appeals and held that the Fourteenth Amendment's Due Process and Equal Protection Clauses guarantee same-sex couples the right to marry in all states and require states to recognize same-sex marriages performed in other states. The article provides insights into the legal implications and the Court's reasoning behind the decision.</w:t>
      </w:r>
      <w:r/>
    </w:p>
    <w:p>
      <w:pPr>
        <w:pStyle w:val="ListNumber"/>
        <w:spacing w:line="240" w:lineRule="auto"/>
        <w:ind w:left="720"/>
      </w:pPr>
      <w:r/>
      <w:hyperlink r:id="rId15">
        <w:r>
          <w:rPr>
            <w:color w:val="0000EE"/>
            <w:u w:val="single"/>
          </w:rPr>
          <w:t>https://legalclarity.org/obergefell-v-hodges-case-summary-facts-and-ruling/</w:t>
        </w:r>
      </w:hyperlink>
      <w:r>
        <w:t xml:space="preserve"> - LegalClarity offers a detailed breakdown of Obergefell v. Hodges, the Supreme Court ruling that established a constitutional right to marriage for same-sex couples nationwide. The article covers the facts of the case, the legal background, and the Court's reasoning, highlighting how the decision reshaped federal benefits, parental rights, and more. It also discusses the case's significance in the broader context of LGBTQ+ rights in the United States.</w:t>
      </w:r>
      <w:r/>
    </w:p>
    <w:p>
      <w:pPr>
        <w:pStyle w:val="ListNumber"/>
        <w:spacing w:line="240" w:lineRule="auto"/>
        <w:ind w:left="720"/>
      </w:pPr>
      <w:r/>
      <w:hyperlink r:id="rId10">
        <w:r>
          <w:rPr>
            <w:color w:val="0000EE"/>
            <w:u w:val="single"/>
          </w:rPr>
          <w:t>https://legalclarity.org/united-states-v-windsor-how-doma-was-struck-down/</w:t>
        </w:r>
      </w:hyperlink>
      <w:r>
        <w:t xml:space="preserve"> - LegalClarity examines United States v. Windsor, the 2013 Supreme Court decision that struck down the federal law barring recognition of same-sex marriages, forcing every federal agency to treat legally married same-sex couples the same as opposite-sex couples. The article provides insights into the case's background, the legal arguments presented, and the Court's reasoning, highlighting its significance in the fight for marriage equality in the United States.</w:t>
      </w:r>
      <w:r/>
    </w:p>
    <w:p>
      <w:pPr>
        <w:pStyle w:val="ListNumber"/>
        <w:spacing w:line="240" w:lineRule="auto"/>
        <w:ind w:left="720"/>
      </w:pPr>
      <w:r/>
      <w:hyperlink r:id="rId11">
        <w:r>
          <w:rPr>
            <w:color w:val="0000EE"/>
            <w:u w:val="single"/>
          </w:rPr>
          <w:t>https://www.law.cornell.edu/supremecourt/text/12-307</w:t>
        </w:r>
      </w:hyperlink>
      <w:r>
        <w:t xml:space="preserve"> - The Supreme Court's official syllabus for United States v. Windsor outlines the case's background, questions presented, and the Court's decision. The case challenged the constitutionality of Section 3 of the Defense of Marriage Act (DOMA), which defined marriage for federal purposes as a union between one man and one woman. The Court held that DOMA was unconstitutional as a deprivation of the equal liberty of persons protected by the Fifth Amendment's Due Process Clause.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judith-kasen-windsor-on-edie-windsor-marriage-equality-and-the-fight-ahead/" TargetMode="External"/><Relationship Id="rId10" Type="http://schemas.openxmlformats.org/officeDocument/2006/relationships/hyperlink" Target="https://legalclarity.org/united-states-v-windsor-how-doma-was-struck-down/" TargetMode="External"/><Relationship Id="rId11" Type="http://schemas.openxmlformats.org/officeDocument/2006/relationships/hyperlink" Target="https://www.law.cornell.edu/supremecourt/text/12-307" TargetMode="External"/><Relationship Id="rId12" Type="http://schemas.openxmlformats.org/officeDocument/2006/relationships/hyperlink" Target="https://www.law.cornell.edu/supremecourt/text/14-556" TargetMode="External"/><Relationship Id="rId13" Type="http://schemas.openxmlformats.org/officeDocument/2006/relationships/hyperlink" Target="https://www.law.cornell.edu/wex/obergefell_v._hodges" TargetMode="External"/><Relationship Id="rId14" Type="http://schemas.openxmlformats.org/officeDocument/2006/relationships/hyperlink" Target="https://www.faegredrinker.com/en/insights/publications/2015/6/supreme-court-decides-obergefell-v-hodges" TargetMode="External"/><Relationship Id="rId15" Type="http://schemas.openxmlformats.org/officeDocument/2006/relationships/hyperlink" Target="https://legalclarity.org/obergefell-v-hodges-case-summary-facts-and-rul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