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LGBTQ+ workplace policy rollbacks mean for employee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transgender former EEOC employee’s lawsuit is moving forward after he alleged that LGBTQ+ policy changes, lost workplace support and exclusion from key duties made his job intolerable. The case highlights why employers must examine not only what a policy says, but how its rollout affects people day to day.</w:t>
      </w:r>
      <w:r/>
    </w:p>
    <w:p>
      <w:pPr>
        <w:pStyle w:val="Heading2"/>
      </w:pPr>
      <w:r>
        <w:t>Essential Takeaways</w:t>
      </w:r>
      <w:r/>
      <w:r/>
    </w:p>
    <w:p>
      <w:pPr>
        <w:pStyle w:val="ListBullet"/>
        <w:spacing w:line="240" w:lineRule="auto"/>
        <w:ind w:left="720"/>
      </w:pPr>
      <w:r/>
      <w:r>
        <w:rPr>
          <w:b/>
        </w:rPr>
        <w:t>The case can proceed:</w:t>
      </w:r>
      <w:r>
        <w:t xml:space="preserve"> A federal court allowed harassment, discrimination and retaliation claims to continue.</w:t>
      </w:r>
      <w:r/>
    </w:p>
    <w:p>
      <w:pPr>
        <w:pStyle w:val="ListBullet"/>
        <w:spacing w:line="240" w:lineRule="auto"/>
        <w:ind w:left="720"/>
      </w:pPr>
      <w:r/>
      <w:r>
        <w:rPr>
          <w:b/>
        </w:rPr>
        <w:t>Policy can have personal consequences:</w:t>
      </w:r>
      <w:r>
        <w:t xml:space="preserve"> Broad directives allegedly affected the employee’s duties, access and workplace support.</w:t>
      </w:r>
      <w:r/>
    </w:p>
    <w:p>
      <w:pPr>
        <w:pStyle w:val="ListBullet"/>
        <w:spacing w:line="240" w:lineRule="auto"/>
        <w:ind w:left="720"/>
      </w:pPr>
      <w:r/>
      <w:r>
        <w:rPr>
          <w:b/>
        </w:rPr>
        <w:t>Timing matters:</w:t>
      </w:r>
      <w:r>
        <w:t xml:space="preserve"> Network access was reportedly removed shortly after an internal discrimination complaint.</w:t>
      </w:r>
      <w:r/>
    </w:p>
    <w:p>
      <w:pPr>
        <w:pStyle w:val="ListBullet"/>
        <w:spacing w:line="240" w:lineRule="auto"/>
        <w:ind w:left="720"/>
      </w:pPr>
      <w:r/>
      <w:r>
        <w:rPr>
          <w:b/>
        </w:rPr>
        <w:t>Everyday decisions count:</w:t>
      </w:r>
      <w:r>
        <w:t xml:space="preserve"> Meetings, assignments and permissions can become relevant in a retaliation review.</w:t>
      </w:r>
      <w:r/>
    </w:p>
    <w:p>
      <w:pPr>
        <w:pStyle w:val="ListBullet"/>
        <w:spacing w:line="240" w:lineRule="auto"/>
        <w:ind w:left="720"/>
      </w:pPr>
      <w:r/>
      <w:r>
        <w:rPr>
          <w:b/>
        </w:rPr>
        <w:t>Legal protections remain important:</w:t>
      </w:r>
      <w:r>
        <w:t xml:space="preserve"> The EEOC says employment discrimination based on sex, including related workplace treatment, can breach Title VII.</w:t>
      </w:r>
      <w:r/>
      <w:r/>
    </w:p>
    <w:p>
      <w:pPr>
        <w:pStyle w:val="Heading2"/>
      </w:pPr>
      <w:r>
        <w:t>When a policy change follows someone to their desk</w:t>
      </w:r>
      <w:r/>
    </w:p>
    <w:p>
      <w:r/>
      <w:r>
        <w:t>The central issue isn't simply whether an employer may change direction. It's what happens when that change reaches an individual employee's workload, status and ability to do their job.</w:t>
      </w:r>
      <w:r/>
    </w:p>
    <w:p>
      <w:r/>
      <w:r>
        <w:t>The former employee, a transgender man in a senior information-governance role, said he had helped support LGBTQ+ colleagues and develop a pronoun-display tool. He later alleged that those initiatives were dismantled, while he was required to help remove related references from agency material. The emotional weight is easy to understand: imagine being asked to erase work connected to your own identity, then finding yourself pushed away from decisions in your professional area.</w:t>
      </w:r>
      <w:r/>
    </w:p>
    <w:p>
      <w:r/>
      <w:r>
        <w:t>According to the EEOC's explanation of prohibited employment practices, employers may not discriminate in areas such as assignments, promotion, discipline or other terms of employment because of protected characteristics. That makes the practical impact of a policy shift just as important as its official wording.</w:t>
      </w:r>
      <w:r/>
    </w:p>
    <w:p>
      <w:pPr>
        <w:pStyle w:val="Heading2"/>
      </w:pPr>
      <w:r>
        <w:t>The court looked beyond the policy document</w:t>
      </w:r>
      <w:r/>
    </w:p>
    <w:p>
      <w:r/>
      <w:r>
        <w:t>The agency argued that the allegations were essentially a challenge to government policy and administrative choices. The court did not accept the idea that written directives automatically sit outside a workplace harassment claim.</w:t>
      </w:r>
      <w:r/>
    </w:p>
    <w:p>
      <w:r/>
      <w:r>
        <w:t>Instead, it considered the alleged changes alongside the employee's individual experience. That included the removal of workplace support, his involvement in implementing the new approach, his alleged exclusion from decisions and the loss of access needed for his role. In other words, a policy may be broad, but its consequences can still be intensely personal.</w:t>
      </w:r>
      <w:r/>
    </w:p>
    <w:p>
      <w:r/>
      <w:r>
        <w:t>This distinction matters for employers in every sector. A neutral-sounding announcement can create risk if managers then remove responsibilities, isolate an employee or treat their complaint as disloyalty. The EEOC's federal-sector materials also show how disputes over transgender workplace treatment can develop into formal legal questions rather than remaining internal disagreements.</w:t>
      </w:r>
      <w:r/>
    </w:p>
    <w:p>
      <w:pPr>
        <w:pStyle w:val="Heading2"/>
      </w:pPr>
      <w:r>
        <w:t>Why the timing of workplace decisions matters</w:t>
      </w:r>
      <w:r/>
    </w:p>
    <w:p>
      <w:r/>
      <w:r>
        <w:t>The former employee said he reported discrimination on 4 March. He allegedly learned the following day that he had "fallen out of favour", and soon after lost network permissions needed for his work. Access was later restored, but he also claimed he was excluded from a contractor meeting linked to an initiative he had led.</w:t>
      </w:r>
      <w:r/>
    </w:p>
    <w:p>
      <w:r/>
      <w:r>
        <w:t>Those details formed part of the retaliation allegation. As HR Dive reported in its coverage of changing EEOC harassment guidance, the treatment of transgender workers has become a particularly contested area of employment policy. That makes careful documentation even more valuable, especially when an employee has recently raised a complaint.</w:t>
      </w:r>
      <w:r/>
    </w:p>
    <w:p>
      <w:r/>
      <w:r>
        <w:t>A manager doesn't need to freeze every ordinary decision after a complaint. But the business should be able to explain who made each change, when it happened, what operational reason supported it and whether comparable employees were treated similarly. Losing a meeting invitation may look minor in isolation, yet it can matter if it strips someone of influence or signals that they are being sidelined.</w:t>
      </w:r>
      <w:r/>
    </w:p>
    <w:p>
      <w:pPr>
        <w:pStyle w:val="Heading2"/>
      </w:pPr>
      <w:r>
        <w:t>What employers should review after a complaint</w:t>
      </w:r>
      <w:r/>
    </w:p>
    <w:p>
      <w:r/>
      <w:r>
        <w:t>First, separate disagreement from misconduct. An employee can object to a policy and still raise a genuine discrimination concern. Treating the objection simply as resistance may cause managers to miss the underlying complaint.</w:t>
      </w:r>
      <w:r/>
    </w:p>
    <w:p>
      <w:r/>
      <w:r>
        <w:t>Second, review the practical effects of a policy across the organisation. Does it alter access to facilities, internal language, employee groups, systems, training or case handling? Guidance discussed by Holland and Knight shows why employers should examine not only formal rules, but also the way they are communicated and applied.</w:t>
      </w:r>
      <w:r/>
    </w:p>
    <w:p>
      <w:r/>
      <w:r>
        <w:t>Third, audit everyday management choices. Check access permissions, project assignments, meeting invitations, reporting lines and leave decisions. The EEOC says employers should not allow prohibited considerations to shape employment actions, and small changes can look very different when viewed together.</w:t>
      </w:r>
      <w:r/>
    </w:p>
    <w:p>
      <w:r/>
      <w:r>
        <w:t>For employees, keeping a calm record can help too. Note dates, instructions, changes to responsibilities and the wording of any complaint. That isn't about escalating every awkward exchange, but it can preserve a clear picture if a pattern develops.</w:t>
      </w:r>
      <w:r/>
    </w:p>
    <w:p>
      <w:pPr>
        <w:pStyle w:val="Heading2"/>
      </w:pPr>
      <w:r>
        <w:t>A case with wider workplace implications</w:t>
      </w:r>
      <w:r/>
    </w:p>
    <w:p>
      <w:r/>
      <w:r>
        <w:t>The court's decision does not prove the allegations. The employee will still need to establish his claims, while the agency will have the opportunity to defend its actions. Even so, allowing the case to proceed sends a practical message: organisations cannot assume that a high-level policy decision shields every later management action from scrutiny.</w:t>
      </w:r>
      <w:r/>
    </w:p>
    <w:p>
      <w:r/>
      <w:r>
        <w:t>The wider debate is already visible in guidance and litigation over transgender workers' bathroom access, pronoun use and harassment protections. Nolo's legal explainers note that these disputes often turn on the interaction between general workplace rules and the employee's specific circumstances. That is where risk tends to grow, particularly when a policy change is followed by exclusion or loss of support.</w:t>
      </w:r>
      <w:r/>
    </w:p>
    <w:p>
      <w:r/>
      <w:r>
        <w:t>For employers, the sensible approach is not to avoid difficult policy decisions. It's to make them transparently, train managers, preserve consistent processes and investigate complaints without labelling the complainant a problem. For workers, the case is a reminder that the law may examine the full pattern, not just the headline policy.</w:t>
      </w:r>
      <w:r/>
    </w:p>
    <w:p>
      <w:r/>
      <w:r>
        <w:t>Small workplace actions can carry a surprisingly heavy meaning. Careful process is therefore more than legal housekeeping; it can determine whether a change feels manageable or hostile.</w:t>
      </w:r>
      <w:r/>
    </w:p>
    <w:p>
      <w:r/>
      <w:r>
        <w:t>It's the way a policy is lived at work that may matter most.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Paragraph 15: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https://www.theemployerhandbook.com/a-transgender-employee-says-the-eeocs-lgbtq-rollbacks-drove-him-out-when-does-policy-become-harassment/</w:t>
        </w:r>
      </w:hyperlink>
      <w:r>
        <w:t xml:space="preserve"> - Please view link - unable to able to access data</w:t>
      </w:r>
      <w:r/>
    </w:p>
    <w:p>
      <w:pPr>
        <w:pStyle w:val="ListNumber"/>
        <w:spacing w:line="240" w:lineRule="auto"/>
        <w:ind w:left="720"/>
      </w:pPr>
      <w:r/>
      <w:hyperlink r:id="rId10">
        <w:r>
          <w:rPr>
            <w:color w:val="0000EE"/>
            <w:u w:val="single"/>
          </w:rPr>
          <w:t>https://www.eeoc.gov/prohibited-employment-policiespractices</w:t>
        </w:r>
      </w:hyperlink>
      <w:r>
        <w:t xml:space="preserve"> - The U.S. Equal Employment Opportunity Commission (EEOC) outlines prohibited employment policies and practices, emphasizing that discrimination based on sex, including transgender status, sexual orientation, and pregnancy, is illegal. The EEOC also prohibits retaliation against individuals who complain about discrimination or participate in investigations or lawsuits related to employment discrimination. This guidance underscores the agency's commitment to enforcing laws that protect employees from discrimination in all aspects of employment.</w:t>
      </w:r>
      <w:r/>
    </w:p>
    <w:p>
      <w:pPr>
        <w:pStyle w:val="ListNumber"/>
        <w:spacing w:line="240" w:lineRule="auto"/>
        <w:ind w:left="720"/>
      </w:pPr>
      <w:r/>
      <w:hyperlink r:id="rId11">
        <w:r>
          <w:rPr>
            <w:color w:val="0000EE"/>
            <w:u w:val="single"/>
          </w:rPr>
          <w:t>https://www.eeoc.gov/newsroom/eeoc-issues-federal-sector-appellate-decision-recognizing-ability-federal-agencies</w:t>
        </w:r>
      </w:hyperlink>
      <w:r>
        <w:t xml:space="preserve"> - In a February 2026 decision, the EEOC held that Title VII permits federal agencies to maintain single-sex bathrooms and similar intimate spaces, allowing them to exclude employees, including transgender individuals, from opposite-sex facilities. This ruling aligns with Executive Order 14168, which directs federal agencies to enforce laws governing sex-based rights and protections, recognizing only two sexes—male and female—and removing materials promoting 'gender ideology.'</w:t>
      </w:r>
      <w:r/>
    </w:p>
    <w:p>
      <w:pPr>
        <w:pStyle w:val="ListNumber"/>
        <w:spacing w:line="240" w:lineRule="auto"/>
        <w:ind w:left="720"/>
      </w:pPr>
      <w:r/>
      <w:hyperlink r:id="rId12">
        <w:r>
          <w:rPr>
            <w:color w:val="0000EE"/>
            <w:u w:val="single"/>
          </w:rPr>
          <w:t>https://www.nolo.com/news/eeoc-allows-federal-agencies-to-restrict-transgender-bathroom-access.html</w:t>
        </w:r>
      </w:hyperlink>
      <w:r>
        <w:t xml:space="preserve"> - A February 2026 ruling by the EEOC permits federal agencies to require transgender employees to use bathrooms corresponding to their sex at birth, rather than their gender identity. This decision marks a significant policy reversal and could affect transgender workplace protections nationwide. The ruling applies specifically to federal agencies and does not mandate changes for private employers.</w:t>
      </w:r>
      <w:r/>
    </w:p>
    <w:p>
      <w:pPr>
        <w:pStyle w:val="ListNumber"/>
        <w:spacing w:line="240" w:lineRule="auto"/>
        <w:ind w:left="720"/>
      </w:pPr>
      <w:r/>
      <w:hyperlink r:id="rId13">
        <w:r>
          <w:rPr>
            <w:color w:val="0000EE"/>
            <w:u w:val="single"/>
          </w:rPr>
          <w:t>https://www.nolo.com/legal-encyclopedia/can-employer-require-me-the-mens-restroom-im-transitioning-female.html</w:t>
        </w:r>
      </w:hyperlink>
      <w:r>
        <w:t xml:space="preserve"> - This article discusses whether employers can require a transgender employee to use a specific bathroom. It notes that federal agencies may adopt policies limiting employees to bathrooms corresponding to their sex at birth, as per a February 2026 EEOC decision. However, this ruling does not bind private employers, and state or local laws may offer additional protections to transgender employees.</w:t>
      </w:r>
      <w:r/>
    </w:p>
    <w:p>
      <w:pPr>
        <w:pStyle w:val="ListNumber"/>
        <w:spacing w:line="240" w:lineRule="auto"/>
        <w:ind w:left="720"/>
      </w:pPr>
      <w:r/>
      <w:hyperlink r:id="rId14">
        <w:r>
          <w:rPr>
            <w:color w:val="0000EE"/>
            <w:u w:val="single"/>
          </w:rPr>
          <w:t>https://www.hrdive.com/news/eeoc-rescinds-harassment-guidance-protecting-transgender-workers/810251/</w:t>
        </w:r>
      </w:hyperlink>
      <w:r>
        <w:t xml:space="preserve"> - In January 2026, the EEOC voted 2-1 to rescind its 2024 Enforcement Guidance on Harassment in the Workplace, which had addressed gender identity under Title VII. The rescission removes language stating that repeated, intentional misgendering and denial of restroom access consistent with an employee's gender identity are potential forms of unlawful harassment under Title VII. This decision follows Executive Order 14168, which directed federal agencies to remove policies promoting 'gender ideology.'</w:t>
      </w:r>
      <w:r/>
    </w:p>
    <w:p>
      <w:pPr>
        <w:pStyle w:val="ListNumber"/>
        <w:spacing w:line="240" w:lineRule="auto"/>
        <w:ind w:left="720"/>
      </w:pPr>
      <w:r/>
      <w:hyperlink r:id="rId15">
        <w:r>
          <w:rPr>
            <w:color w:val="0000EE"/>
            <w:u w:val="single"/>
          </w:rPr>
          <w:t>https://www.hklaw.com/en/insights/publications/2026/01/eeoc-rescinds-2024-harassment-guidance-addressing</w:t>
        </w:r>
      </w:hyperlink>
      <w:r>
        <w:t xml:space="preserve"> - Holland &amp; Knight reports on the EEOC's January 2026 decision to rescind its 2024 Enforcement Guidance on Harassment in the Workplace, which had addressed gender identity under Title VII. The rescission removes language stating that repeated, intentional misgendering and denial of restroom access consistent with an employee's gender identity are potential forms of unlawful harassment under Title VII. This action aligns with Executive Order 14168, which directed federal agencies to remove policies promoting 'gender ideology.'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employerhandbook.com/a-transgender-employee-says-the-eeocs-lgbtq-rollbacks-drove-him-out-when-does-policy-become-harassment/" TargetMode="External"/><Relationship Id="rId10" Type="http://schemas.openxmlformats.org/officeDocument/2006/relationships/hyperlink" Target="https://www.eeoc.gov/prohibited-employment-policiespractices" TargetMode="External"/><Relationship Id="rId11" Type="http://schemas.openxmlformats.org/officeDocument/2006/relationships/hyperlink" Target="https://www.eeoc.gov/newsroom/eeoc-issues-federal-sector-appellate-decision-recognizing-ability-federal-agencies" TargetMode="External"/><Relationship Id="rId12" Type="http://schemas.openxmlformats.org/officeDocument/2006/relationships/hyperlink" Target="https://www.nolo.com/news/eeoc-allows-federal-agencies-to-restrict-transgender-bathroom-access.html" TargetMode="External"/><Relationship Id="rId13" Type="http://schemas.openxmlformats.org/officeDocument/2006/relationships/hyperlink" Target="https://www.nolo.com/legal-encyclopedia/can-employer-require-me-the-mens-restroom-im-transitioning-female.html" TargetMode="External"/><Relationship Id="rId14" Type="http://schemas.openxmlformats.org/officeDocument/2006/relationships/hyperlink" Target="https://www.hrdive.com/news/eeoc-rescinds-harassment-guidance-protecting-transgender-workers/810251/" TargetMode="External"/><Relationship Id="rId15" Type="http://schemas.openxmlformats.org/officeDocument/2006/relationships/hyperlink" Target="https://www.hklaw.com/en/insights/publications/2026/01/eeoc-rescinds-2024-harassment-guidance-address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