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LGBTQ+ Researchers Need Institutional Support After UK Ruling</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Researchers studying LGBTQ+ lives are facing a sharper public backlash after the UK Supreme Court’s ruling on biological sex, with universities under pressure to protect staff from harassment, isolation and career damage rather than leaving them to manage the risks alone.</w:t>
      </w:r>
      <w:r/>
    </w:p>
    <w:p>
      <w:pPr>
        <w:pStyle w:val="Heading2"/>
      </w:pPr>
      <w:r>
        <w:t>Essential Takeaways</w:t>
      </w:r>
      <w:r/>
      <w:r/>
    </w:p>
    <w:p>
      <w:pPr>
        <w:pStyle w:val="ListBullet"/>
        <w:spacing w:line="240" w:lineRule="auto"/>
        <w:ind w:left="720"/>
      </w:pPr>
      <w:r/>
      <w:r>
        <w:rPr>
          <w:b/>
        </w:rPr>
        <w:t>The legal backdrop has shifted:</w:t>
      </w:r>
      <w:r>
        <w:t xml:space="preserve"> The Supreme Court interpreted “sex” in the Equality Act 2010 as biological sex, prompting new guidance from the Equality and Human Rights Commission.</w:t>
      </w:r>
      <w:r/>
    </w:p>
    <w:p>
      <w:pPr>
        <w:pStyle w:val="ListBullet"/>
        <w:spacing w:line="240" w:lineRule="auto"/>
        <w:ind w:left="720"/>
      </w:pPr>
      <w:r/>
      <w:r>
        <w:rPr>
          <w:b/>
        </w:rPr>
        <w:t>Visibility can carry a cost:</w:t>
      </w:r>
      <w:r>
        <w:t xml:space="preserve"> LGBTQ+ researchers may find that publicising their work also exposes parts of their personal identity.</w:t>
      </w:r>
      <w:r/>
    </w:p>
    <w:p>
      <w:pPr>
        <w:pStyle w:val="ListBullet"/>
        <w:spacing w:line="240" w:lineRule="auto"/>
        <w:ind w:left="720"/>
      </w:pPr>
      <w:r/>
      <w:r>
        <w:rPr>
          <w:b/>
        </w:rPr>
        <w:t>Online abuse is a workplace issue:</w:t>
      </w:r>
      <w:r>
        <w:t xml:space="preserve"> Social media harassment can affect wellbeing, confidence and career progression.</w:t>
      </w:r>
      <w:r/>
    </w:p>
    <w:p>
      <w:pPr>
        <w:pStyle w:val="ListBullet"/>
        <w:spacing w:line="240" w:lineRule="auto"/>
        <w:ind w:left="720"/>
      </w:pPr>
      <w:r/>
      <w:r>
        <w:rPr>
          <w:b/>
        </w:rPr>
        <w:t>Universities need clearer systems:</w:t>
      </w:r>
      <w:r>
        <w:t xml:space="preserve"> Researchers and support staff want named contacts, training and practical safeguarding advice.</w:t>
      </w:r>
      <w:r/>
    </w:p>
    <w:p>
      <w:pPr>
        <w:pStyle w:val="ListBullet"/>
        <w:spacing w:line="240" w:lineRule="auto"/>
        <w:ind w:left="720"/>
      </w:pPr>
      <w:r/>
      <w:r>
        <w:rPr>
          <w:b/>
        </w:rPr>
        <w:t>Public engagement shouldn’t be compulsory:</w:t>
      </w:r>
      <w:r>
        <w:t xml:space="preserve"> Academic success shouldn’t depend entirely on being highly visible in hostile online spaces.</w:t>
      </w:r>
      <w:r/>
      <w:r/>
    </w:p>
    <w:p>
      <w:pPr>
        <w:pStyle w:val="Heading2"/>
      </w:pPr>
      <w:r>
        <w:t>A legal ruling has changed the atmosphere</w:t>
      </w:r>
      <w:r/>
    </w:p>
    <w:p>
      <w:r/>
      <w:r>
        <w:t>The UK Supreme Court’s decision has intensified debate about how sex and gender are understood in law. Its interpretation of the Equality Act has been followed by guidance from the Equality and Human Rights Commission on single-sex spaces, including toilets and changing rooms. The result is a more unsettled environment for trans people and for researchers whose work examines LGBTQ+ rights, identity and inequality.</w:t>
      </w:r>
      <w:r/>
    </w:p>
    <w:p>
      <w:r/>
      <w:r>
        <w:t xml:space="preserve">The parliamentary House of Commons Library has documented the wider legal and policy background, while reporting by Deutsche Welle and The Guardian showed how sharply the ruling divided campaigners and commentators. For researchers, however, this isn’t simply a question of courtroom language. It shapes the climate in which they teach, publish and discuss their findings. </w:t>
      </w:r>
      <w:hyperlink r:id="rId9">
        <w:r>
          <w:rPr>
            <w:color w:val="0000EE"/>
            <w:u w:val="single"/>
          </w:rPr>
          <w:t>[2]</w:t>
        </w:r>
      </w:hyperlink>
      <w:r>
        <w:t xml:space="preserve">, </w:t>
      </w:r>
      <w:hyperlink r:id="rId10">
        <w:r>
          <w:rPr>
            <w:color w:val="0000EE"/>
            <w:u w:val="single"/>
          </w:rPr>
          <w:t>[3]</w:t>
        </w:r>
      </w:hyperlink>
      <w:r>
        <w:t xml:space="preserve">, </w:t>
      </w:r>
      <w:hyperlink r:id="rId11">
        <w:r>
          <w:rPr>
            <w:color w:val="0000EE"/>
            <w:u w:val="single"/>
          </w:rPr>
          <w:t>[4]</w:t>
        </w:r>
      </w:hyperlink>
      <w:r>
        <w:t xml:space="preserve">, </w:t>
      </w:r>
      <w:hyperlink r:id="rId12">
        <w:r>
          <w:rPr>
            <w:color w:val="0000EE"/>
            <w:u w:val="single"/>
          </w:rPr>
          <w:t>[5]</w:t>
        </w:r>
      </w:hyperlink>
      <w:r/>
    </w:p>
    <w:p>
      <w:pPr>
        <w:pStyle w:val="Heading2"/>
      </w:pPr>
      <w:r>
        <w:t>When research becomes personally visible</w:t>
      </w:r>
      <w:r/>
    </w:p>
    <w:p>
      <w:r/>
      <w:r>
        <w:t>LGBTQ+ research often deals with subjects that are already politically charged, from healthcare and education to discrimination and public space. Researchers told the study behind this story that sharing their work could bring social media abuse, unwanted attention and professional consequences.</w:t>
      </w:r>
      <w:r/>
    </w:p>
    <w:p>
      <w:r/>
      <w:r>
        <w:t>That pressure can feel especially intimate. A researcher may be discussing a population or experience that also forms part of their own identity, making the boundary between professional expertise and private life unusually thin. The work needs to reach the public, but pushing it into a hostile online conversation can feel less like outreach and more like stepping into a storm.</w:t>
      </w:r>
      <w:r/>
    </w:p>
    <w:p>
      <w:r/>
      <w:r>
        <w:t xml:space="preserve">Legal briefings from Addleshaw Goddard and Capital Law underline how the court’s interpretation affects the Equality Act framework. That context helps explain why researchers may be cautious about public commentary: they’re not operating in an abstract debate, but in a changing legal and social landscape. </w:t>
      </w:r>
      <w:hyperlink r:id="rId13">
        <w:r>
          <w:rPr>
            <w:color w:val="0000EE"/>
            <w:u w:val="single"/>
          </w:rPr>
          <w:t>[6]</w:t>
        </w:r>
      </w:hyperlink>
      <w:r>
        <w:t xml:space="preserve">, </w:t>
      </w:r>
      <w:hyperlink r:id="rId14">
        <w:r>
          <w:rPr>
            <w:color w:val="0000EE"/>
            <w:u w:val="single"/>
          </w:rPr>
          <w:t>[7]</w:t>
        </w:r>
      </w:hyperlink>
      <w:r/>
    </w:p>
    <w:p>
      <w:pPr>
        <w:pStyle w:val="Heading2"/>
      </w:pPr>
      <w:r>
        <w:t>Why universities can’t leave staff to cope alone</w:t>
      </w:r>
      <w:r/>
    </w:p>
    <w:p>
      <w:r/>
      <w:r>
        <w:t>The research found that many LGBTQ+ academics were managing risks individually, often without clear institutional guidance. They wanted to know who to contact after online abuse, how incidents would be handled and whether their employer would stand behind them if controversy escalated.</w:t>
      </w:r>
      <w:r/>
    </w:p>
    <w:p>
      <w:r/>
      <w:r>
        <w:t>Research support staff faced a similar problem. They were expected to help communicate sensitive work while dealing with stretched teams, restructuring and growing demands around research assessment. Yet many had little training on safeguarding, harassment or the particular pressures attached to LGBTQ+ scholarship.</w:t>
      </w:r>
      <w:r/>
    </w:p>
    <w:p>
      <w:r/>
      <w:r>
        <w:t xml:space="preserve">The gap matters because a university’s responsibility shouldn’t begin only after a threat becomes serious. The Equality and Human Rights Commission’s post-ruling guidance has made the policy environment more complicated, which makes internal support and careful communication more important, not less. </w:t>
      </w:r>
      <w:hyperlink r:id="rId9">
        <w:r>
          <w:rPr>
            <w:color w:val="0000EE"/>
            <w:u w:val="single"/>
          </w:rPr>
          <w:t>[2]</w:t>
        </w:r>
      </w:hyperlink>
      <w:r>
        <w:t xml:space="preserve">, </w:t>
      </w:r>
      <w:hyperlink r:id="rId12">
        <w:r>
          <w:rPr>
            <w:color w:val="0000EE"/>
            <w:u w:val="single"/>
          </w:rPr>
          <w:t>[5]</w:t>
        </w:r>
      </w:hyperlink>
      <w:r>
        <w:t xml:space="preserve">, </w:t>
      </w:r>
      <w:hyperlink r:id="rId13">
        <w:r>
          <w:rPr>
            <w:color w:val="0000EE"/>
            <w:u w:val="single"/>
          </w:rPr>
          <w:t>[6]</w:t>
        </w:r>
      </w:hyperlink>
      <w:r/>
    </w:p>
    <w:p>
      <w:pPr>
        <w:pStyle w:val="Heading2"/>
      </w:pPr>
      <w:r>
        <w:t>Practical support should be built into research</w:t>
      </w:r>
      <w:r/>
    </w:p>
    <w:p>
      <w:r/>
      <w:r>
        <w:t>A sensible starting point is a named route for reporting abuse, with staff who know how to respond. Universities should also offer guidance on social media, personal data, event security and media enquiries, alongside access to confidential mental health support.</w:t>
      </w:r>
      <w:r/>
    </w:p>
    <w:p>
      <w:r/>
      <w:r>
        <w:t>Researchers shouldn’t have to become their own security advisers. Before publishing or promoting controversial work, institutions can help assess likely risks, agree escalation plans and decide who will handle hostile correspondence. That kind of preparation is quieter than a public statement, but it can make a big difference when attention arrives suddenly.</w:t>
      </w:r>
      <w:r/>
    </w:p>
    <w:p>
      <w:r/>
      <w:r>
        <w:t xml:space="preserve">Career structures need attention, too. If promotion rewards constant public visibility, researchers may feel pressured to expose themselves to abuse simply to remain competitive. A more balanced approach would recognise teaching, research quality, mentoring and community work, rather than treating online presence as a measure of academic value. </w:t>
      </w:r>
      <w:hyperlink r:id="rId10">
        <w:r>
          <w:rPr>
            <w:color w:val="0000EE"/>
            <w:u w:val="single"/>
          </w:rPr>
          <w:t>[3]</w:t>
        </w:r>
      </w:hyperlink>
      <w:r>
        <w:t xml:space="preserve">, </w:t>
      </w:r>
      <w:hyperlink r:id="rId11">
        <w:r>
          <w:rPr>
            <w:color w:val="0000EE"/>
            <w:u w:val="single"/>
          </w:rPr>
          <w:t>[4]</w:t>
        </w:r>
      </w:hyperlink>
      <w:r>
        <w:t xml:space="preserve">, </w:t>
      </w:r>
      <w:hyperlink r:id="rId14">
        <w:r>
          <w:rPr>
            <w:color w:val="0000EE"/>
            <w:u w:val="single"/>
          </w:rPr>
          <w:t>[7]</w:t>
        </w:r>
      </w:hyperlink>
      <w:r/>
    </w:p>
    <w:p>
      <w:pPr>
        <w:pStyle w:val="Heading2"/>
      </w:pPr>
      <w:r>
        <w:t>Academic freedom needs care as well as principle</w:t>
      </w:r>
      <w:r/>
    </w:p>
    <w:p>
      <w:r/>
      <w:r>
        <w:t>Universities often defend academic freedom, and they should. But freedom to research and speak doesn’t mean individuals should carry every consequence without support. There’s a difference between accepting that challenging research may attract disagreement and accepting harassment as an unavoidable price of doing the job.</w:t>
      </w:r>
      <w:r/>
    </w:p>
    <w:p>
      <w:r/>
      <w:r>
        <w:t>The strongest response is likely to combine institutional backing with practical solidarity. That means senior leaders taking responsibility, professional services developing useful tools and colleagues refusing to treat abuse as a private inconvenience. As legal and political arguments continue, LGBTQ+ researchers need to know that their institutions value both the work and the people producing it.</w:t>
      </w:r>
      <w:r/>
    </w:p>
    <w:p>
      <w:r/>
      <w:r>
        <w:t xml:space="preserve">A university willing to host research on contested subjects should also be willing to protect the researchers who make that work possible. </w:t>
      </w:r>
      <w:hyperlink r:id="rId9">
        <w:r>
          <w:rPr>
            <w:color w:val="0000EE"/>
            <w:u w:val="single"/>
          </w:rPr>
          <w:t>[2]</w:t>
        </w:r>
      </w:hyperlink>
      <w:r>
        <w:t xml:space="preserve">, </w:t>
      </w:r>
      <w:hyperlink r:id="rId12">
        <w:r>
          <w:rPr>
            <w:color w:val="0000EE"/>
            <w:u w:val="single"/>
          </w:rPr>
          <w:t>[5]</w:t>
        </w:r>
      </w:hyperlink>
      <w:r>
        <w:t xml:space="preserve">, </w:t>
      </w:r>
      <w:hyperlink r:id="rId13">
        <w:r>
          <w:rPr>
            <w:color w:val="0000EE"/>
            <w:u w:val="single"/>
          </w:rPr>
          <w:t>[6]</w:t>
        </w:r>
      </w:hyperlink>
      <w:r/>
    </w:p>
    <w:p>
      <w:r/>
      <w:r>
        <w:t>Care, clear reporting routes and fair career recognition won’t end the backlash, but they can stop researchers facing it alone.</w:t>
      </w:r>
      <w:r/>
    </w:p>
    <w:p>
      <w:pPr>
        <w:pStyle w:val="Heading3"/>
      </w:pPr>
      <w:r>
        <w:t>Source Reference Map</w:t>
      </w:r>
      <w:r/>
    </w:p>
    <w:p>
      <w:r/>
      <w:r>
        <w:rPr>
          <w:b/>
        </w:rPr>
        <w:t>Story idea inspired by:</w:t>
      </w:r>
      <w:r>
        <w:t xml:space="preserve"> </w:t>
      </w:r>
      <w:hyperlink r:id="rId15">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[3]</w:t>
        </w:r>
      </w:hyperlink>
      <w:r>
        <w:t xml:space="preserve">- Paragraph 2: </w:t>
      </w:r>
      <w:hyperlink r:id="rId11">
        <w:r>
          <w:rPr>
            <w:color w:val="0000EE"/>
            <w:u w:val="single"/>
          </w:rPr>
          <w:t>[4]</w:t>
        </w:r>
      </w:hyperlink>
      <w:r>
        <w:t xml:space="preserve">, </w:t>
      </w:r>
      <w:hyperlink r:id="rId12">
        <w:r>
          <w:rPr>
            <w:color w:val="0000EE"/>
            <w:u w:val="single"/>
          </w:rPr>
          <w:t>[5]</w:t>
        </w:r>
      </w:hyperlink>
      <w:r>
        <w:t xml:space="preserve">- Paragraph 3: </w:t>
      </w:r>
      <w:hyperlink r:id="rId13">
        <w:r>
          <w:rPr>
            <w:color w:val="0000EE"/>
            <w:u w:val="single"/>
          </w:rPr>
          <w:t>[6]</w:t>
        </w:r>
      </w:hyperlink>
      <w:r>
        <w:t xml:space="preserve">, </w:t>
      </w:r>
      <w:hyperlink r:id="rId14">
        <w:r>
          <w:rPr>
            <w:color w:val="0000EE"/>
            <w:u w:val="single"/>
          </w:rPr>
          <w:t>[7]</w:t>
        </w:r>
      </w:hyperlink>
      <w:r>
        <w:t xml:space="preserve">- Paragraph 4: </w:t>
      </w:r>
      <w:hyperlink r:id="rId9">
        <w:r>
          <w:rPr>
            <w:color w:val="0000EE"/>
            <w:u w:val="single"/>
          </w:rPr>
          <w:t>[2]</w:t>
        </w:r>
      </w:hyperlink>
      <w:r>
        <w:t xml:space="preserve">, </w:t>
      </w:r>
      <w:hyperlink r:id="rId12">
        <w:r>
          <w:rPr>
            <w:color w:val="0000EE"/>
            <w:u w:val="single"/>
          </w:rPr>
          <w:t>[5]</w:t>
        </w:r>
      </w:hyperlink>
      <w:r>
        <w:t xml:space="preserve">- Paragraph 5: </w:t>
      </w:r>
      <w:hyperlink r:id="rId13">
        <w:r>
          <w:rPr>
            <w:color w:val="0000EE"/>
            <w:u w:val="single"/>
          </w:rPr>
          <w:t>[6]</w:t>
        </w:r>
      </w:hyperlink>
      <w:r>
        <w:t xml:space="preserve">, </w:t>
      </w:r>
      <w:hyperlink r:id="rId14">
        <w:r>
          <w:rPr>
            <w:color w:val="0000EE"/>
            <w:u w:val="single"/>
          </w:rPr>
          <w:t>[7]</w:t>
        </w:r>
      </w:hyperlink>
      <w:r>
        <w:t xml:space="preserve">- Paragraph 6: </w:t>
      </w:r>
      <w:hyperlink r:id="rId10">
        <w:r>
          <w:rPr>
            <w:color w:val="0000EE"/>
            <w:u w:val="single"/>
          </w:rPr>
          <w:t>[3]</w:t>
        </w:r>
      </w:hyperlink>
      <w:r>
        <w:t xml:space="preserve">, </w:t>
      </w:r>
      <w:hyperlink r:id="rId11">
        <w:r>
          <w:rPr>
            <w:color w:val="0000EE"/>
            <w:u w:val="single"/>
          </w:rPr>
          <w:t>[4]</w:t>
        </w:r>
      </w:hyperlink>
      <w:r>
        <w:t xml:space="preserve">- Paragraph 7: </w:t>
      </w:r>
      <w:hyperlink r:id="rId9">
        <w:r>
          <w:rPr>
            <w:color w:val="0000EE"/>
            <w:u w:val="single"/>
          </w:rPr>
          <w:t>[2]</w:t>
        </w:r>
      </w:hyperlink>
      <w:r>
        <w:t xml:space="preserve">, </w:t>
      </w:r>
      <w:hyperlink r:id="rId12">
        <w:r>
          <w:rPr>
            <w:color w:val="0000EE"/>
            <w:u w:val="single"/>
          </w:rPr>
          <w:t>[5]</w:t>
        </w:r>
      </w:hyperlink>
      <w:r>
        <w:t xml:space="preserve">- Paragraph 8: </w:t>
      </w:r>
      <w:hyperlink r:id="rId13">
        <w:r>
          <w:rPr>
            <w:color w:val="0000EE"/>
            <w:u w:val="single"/>
          </w:rPr>
          <w:t>[6]</w:t>
        </w:r>
      </w:hyperlink>
      <w:r>
        <w:t xml:space="preserve">, </w:t>
      </w:r>
      <w:hyperlink r:id="rId14">
        <w:r>
          <w:rPr>
            <w:color w:val="0000EE"/>
            <w:u w:val="single"/>
          </w:rPr>
          <w:t>[7]</w:t>
        </w:r>
      </w:hyperlink>
      <w:r>
        <w:t xml:space="preserve">- Paragraph 9: </w:t>
      </w:r>
      <w:hyperlink r:id="rId9">
        <w:r>
          <w:rPr>
            <w:color w:val="0000EE"/>
            <w:u w:val="single"/>
          </w:rPr>
          <w:t>[2]</w:t>
        </w:r>
      </w:hyperlink>
      <w:r>
        <w:t xml:space="preserve">, </w:t>
      </w:r>
      <w:hyperlink r:id="rId11">
        <w:r>
          <w:rPr>
            <w:color w:val="0000EE"/>
            <w:u w:val="single"/>
          </w:rPr>
          <w:t>[4]</w:t>
        </w:r>
      </w:hyperlink>
      <w:r>
        <w:t xml:space="preserve">- Paragraph 10: </w:t>
      </w:r>
      <w:hyperlink r:id="rId10">
        <w:r>
          <w:rPr>
            <w:color w:val="0000EE"/>
            <w:u w:val="single"/>
          </w:rPr>
          <w:t>[3]</w:t>
        </w:r>
      </w:hyperlink>
      <w:r>
        <w:t xml:space="preserve">, </w:t>
      </w:r>
      <w:hyperlink r:id="rId12">
        <w:r>
          <w:rPr>
            <w:color w:val="0000EE"/>
            <w:u w:val="single"/>
          </w:rPr>
          <w:t>[5]</w:t>
        </w:r>
      </w:hyperlink>
      <w:r>
        <w:t xml:space="preserve">- Paragraph 11: </w:t>
      </w:r>
      <w:hyperlink r:id="rId13">
        <w:r>
          <w:rPr>
            <w:color w:val="0000EE"/>
            <w:u w:val="single"/>
          </w:rPr>
          <w:t>[6]</w:t>
        </w:r>
      </w:hyperlink>
      <w:r>
        <w:t xml:space="preserve">, </w:t>
      </w:r>
      <w:hyperlink r:id="rId14">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15">
        <w:r>
          <w:rPr>
            <w:color w:val="0000EE"/>
            <w:u w:val="single"/>
          </w:rPr>
          <w:t>https://wonkhe.com/blogs/universities-cant-leave-lgbtq-researchers-to-manage-the-backlash-alone</w:t>
        </w:r>
      </w:hyperlink>
      <w:r>
        <w:t xml:space="preserve"> - Please view link - unable to able to access data</w:t>
      </w:r>
      <w:r/>
    </w:p>
    <w:p>
      <w:pPr>
        <w:pStyle w:val="ListNumber"/>
        <w:spacing w:line="240" w:lineRule="auto"/>
        <w:ind w:left="720"/>
      </w:pPr>
      <w:r/>
      <w:hyperlink r:id="rId9">
        <w:r>
          <w:rPr>
            <w:color w:val="0000EE"/>
            <w:u w:val="single"/>
          </w:rPr>
          <w:t>https://commonslibrary.parliament.uk/research-briefings/cbp-10259/</w:t>
        </w:r>
      </w:hyperlink>
      <w:r>
        <w:t xml:space="preserve"> - The House of Commons Library briefing provides an overview of the UK Supreme Court's judgment in For Women Scotland Ltd v The Scottish Ministers, which clarified that the terms 'man', 'woman', and 'sex' in the Equality Act 2010 refer to biological sex. The briefing discusses the implications of this ruling, including its impact on single-sex services and the legal recognition of transgender individuals. It also highlights the reactions from various stakeholders and the potential consequences for public policy and equality legislation.</w:t>
      </w:r>
      <w:r/>
    </w:p>
    <w:p>
      <w:pPr>
        <w:pStyle w:val="ListNumber"/>
        <w:spacing w:line="240" w:lineRule="auto"/>
        <w:ind w:left="720"/>
      </w:pPr>
      <w:r/>
      <w:hyperlink r:id="rId10">
        <w:r>
          <w:rPr>
            <w:color w:val="0000EE"/>
            <w:u w:val="single"/>
          </w:rPr>
          <w:t>https://www.dw.com/en/uk-supreme-court-woman-means-biological-female-under-law/a-72259320</w:t>
        </w:r>
      </w:hyperlink>
      <w:r>
        <w:t xml:space="preserve"> - Deutsche Welle reports on the UK Supreme Court's ruling that defines 'woman' as a biological female under the Equality Act. The article details the case's background, the court's decision, and the reactions from LGBTQ+ groups who condemned the ruling. It also explores the broader implications of the judgment on transgender rights and the ongoing debates surrounding gender identity and legal definitions in the UK.</w:t>
      </w:r>
      <w:r/>
    </w:p>
    <w:p>
      <w:pPr>
        <w:pStyle w:val="ListNumber"/>
        <w:spacing w:line="240" w:lineRule="auto"/>
        <w:ind w:left="720"/>
      </w:pPr>
      <w:r/>
      <w:hyperlink r:id="rId11">
        <w:r>
          <w:rPr>
            <w:color w:val="0000EE"/>
            <w:u w:val="single"/>
          </w:rPr>
          <w:t>https://www.theguardian.com/society/2025/apr/16/critics-of-trans-rights-win-uk-supreme-court-case-over-definition-of-woman</w:t>
        </w:r>
      </w:hyperlink>
      <w:r>
        <w:t xml:space="preserve"> - The Guardian covers the UK Supreme Court's historic ruling that the terms 'woman' and 'sex' in the Equality Act refer exclusively to biological sex. The article discusses the origins of the case, the court's unanimous decision, and the reactions from various groups, including gender-critical activists and transgender rights advocates. It also examines the potential impact of the ruling on transgender individuals and the broader discourse on gender and equality in the UK.</w:t>
      </w:r>
      <w:r/>
    </w:p>
    <w:p>
      <w:pPr>
        <w:pStyle w:val="ListNumber"/>
        <w:spacing w:line="240" w:lineRule="auto"/>
        <w:ind w:left="720"/>
      </w:pPr>
      <w:r/>
      <w:hyperlink r:id="rId12">
        <w:r>
          <w:rPr>
            <w:color w:val="0000EE"/>
            <w:u w:val="single"/>
          </w:rPr>
          <w:t>https://www.equalityhumanrights.com/our-work/uk-supreme-court-ruling-meaning-sex-equality-act-our-work</w:t>
        </w:r>
      </w:hyperlink>
      <w:r>
        <w:t xml:space="preserve"> - The Equality and Human Rights Commission outlines its response to the UK Supreme Court's ruling on the definition of 'sex' in the Equality Act. The page details the Commission's role in ensuring compliance with the Act, its approach to updating guidance in light of the ruling, and the ongoing consultations to address the implications for services, public functions, and associations. It emphasizes the Commission's commitment to upholding equality and human rights in the context of the new legal interpretation.</w:t>
      </w:r>
      <w:r/>
    </w:p>
    <w:p>
      <w:pPr>
        <w:pStyle w:val="ListNumber"/>
        <w:spacing w:line="240" w:lineRule="auto"/>
        <w:ind w:left="720"/>
      </w:pPr>
      <w:r/>
      <w:hyperlink r:id="rId13">
        <w:r>
          <w:rPr>
            <w:color w:val="0000EE"/>
            <w:u w:val="single"/>
          </w:rPr>
          <w:t>https://www.addleshawgoddard.com/en/insights/insights-briefings/2025/employment/uk-supreme-court-judgment-meaning-sex-equality-act-2010-interim-ehrc-guidance/</w:t>
        </w:r>
      </w:hyperlink>
      <w:r>
        <w:t xml:space="preserve"> - Addleshaw Goddard LLP provides an analysis of the UK Supreme Court's judgment on the meaning of 'sex' in the Equality Act 2010 and the subsequent interim guidance issued by the Equality and Human Rights Commission. The article discusses the legal implications of the ruling, the Commission's response, and the expected updates to the Code of Practice. It offers insights into how employers and service providers should navigate the complex issues arising from the judgment.</w:t>
      </w:r>
      <w:r/>
    </w:p>
    <w:p>
      <w:pPr>
        <w:pStyle w:val="ListNumber"/>
        <w:spacing w:line="240" w:lineRule="auto"/>
        <w:ind w:left="720"/>
      </w:pPr>
      <w:r/>
      <w:hyperlink r:id="rId14">
        <w:r>
          <w:rPr>
            <w:color w:val="0000EE"/>
            <w:u w:val="single"/>
          </w:rPr>
          <w:t>https://www.capitallaw.co.uk/news/the-uk-supreme-court-has-ruled-that-the-definition-of-a-woman-in-the-equality-act-2010-is-based-on-biological-sex-only/</w:t>
        </w:r>
      </w:hyperlink>
      <w:r>
        <w:t xml:space="preserve"> - Capital Law discusses the UK Supreme Court's ruling that the definition of 'woman' in the Equality Act 2010 is based solely on biological sex. The article provides background on the case, the court's decision, and the practical implications for employers and service providers. It also explores the broader context of the ruling within the ongoing debates over gender identity and equality legislation in the UK.</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commonslibrary.parliament.uk/research-briefings/cbp-10259/" TargetMode="External"/><Relationship Id="rId10" Type="http://schemas.openxmlformats.org/officeDocument/2006/relationships/hyperlink" Target="https://www.dw.com/en/uk-supreme-court-woman-means-biological-female-under-law/a-72259320" TargetMode="External"/><Relationship Id="rId11" Type="http://schemas.openxmlformats.org/officeDocument/2006/relationships/hyperlink" Target="https://www.theguardian.com/society/2025/apr/16/critics-of-trans-rights-win-uk-supreme-court-case-over-definition-of-woman" TargetMode="External"/><Relationship Id="rId12" Type="http://schemas.openxmlformats.org/officeDocument/2006/relationships/hyperlink" Target="https://www.equalityhumanrights.com/our-work/uk-supreme-court-ruling-meaning-sex-equality-act-our-work" TargetMode="External"/><Relationship Id="rId13" Type="http://schemas.openxmlformats.org/officeDocument/2006/relationships/hyperlink" Target="https://www.addleshawgoddard.com/en/insights/insights-briefings/2025/employment/uk-supreme-court-judgment-meaning-sex-equality-act-2010-interim-ehrc-guidance/" TargetMode="External"/><Relationship Id="rId14" Type="http://schemas.openxmlformats.org/officeDocument/2006/relationships/hyperlink" Target="https://www.capitallaw.co.uk/news/the-uk-supreme-court-has-ruled-that-the-definition-of-a-woman-in-the-equality-act-2010-is-based-on-biological-sex-only/" TargetMode="External"/><Relationship Id="rId15" Type="http://schemas.openxmlformats.org/officeDocument/2006/relationships/hyperlink" Target="https://wonkhe.com/blogs/universities-cant-leave-lgbtq-researchers-to-manage-the-backlash-alon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