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LGBTQ Youth Mental Health Study Finds Mixed Progress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Researchers tracking LGBTQ young people across the United States have found a complicated picture: anxiety, depression and suicidal thoughts remain widespread, while self-harm and suicide attempts eased somewhat over two years. The findings also underline how housing insecurity, identity-based threats and conversion therapy can sharply worsen risk for queer and trans teenagers and young adults.</w:t>
      </w:r>
      <w:r/>
    </w:p>
    <w:p>
      <w:pPr>
        <w:pStyle w:val="Heading2"/>
      </w:pPr>
      <w:r>
        <w:t>Essential Takeaways</w:t>
      </w:r>
      <w:r/>
      <w:r/>
    </w:p>
    <w:p>
      <w:pPr>
        <w:pStyle w:val="ListBullet"/>
        <w:spacing w:line="240" w:lineRule="auto"/>
        <w:ind w:left="720"/>
      </w:pPr>
      <w:r/>
      <w:r>
        <w:rPr>
          <w:b/>
        </w:rPr>
        <w:t>Long-term tracking:</w:t>
      </w:r>
      <w:r>
        <w:t xml:space="preserve"> Project SPARK has followed 1,689 LGBTQ+ people aged 13 to 24 across the US.</w:t>
      </w:r>
      <w:r/>
    </w:p>
    <w:p>
      <w:pPr>
        <w:pStyle w:val="ListBullet"/>
        <w:spacing w:line="240" w:lineRule="auto"/>
        <w:ind w:left="720"/>
      </w:pPr>
      <w:r/>
      <w:r>
        <w:rPr>
          <w:b/>
        </w:rPr>
        <w:t>Some improvement:</w:t>
      </w:r>
      <w:r>
        <w:t xml:space="preserve"> Self-harm and suicide attempts fell during the first two years, although serious mental health concerns remain common.</w:t>
      </w:r>
      <w:r/>
    </w:p>
    <w:p>
      <w:pPr>
        <w:pStyle w:val="ListBullet"/>
        <w:spacing w:line="240" w:lineRule="auto"/>
        <w:ind w:left="720"/>
      </w:pPr>
      <w:r/>
      <w:r>
        <w:rPr>
          <w:b/>
        </w:rPr>
        <w:t>Housing matters:</w:t>
      </w:r>
      <w:r>
        <w:t xml:space="preserve"> Young people who experienced houselessness faced more than double the odds of self-harm and suicidal thoughts.</w:t>
      </w:r>
      <w:r/>
    </w:p>
    <w:p>
      <w:pPr>
        <w:pStyle w:val="ListBullet"/>
        <w:spacing w:line="240" w:lineRule="auto"/>
        <w:ind w:left="720"/>
      </w:pPr>
      <w:r/>
      <w:r>
        <w:rPr>
          <w:b/>
        </w:rPr>
        <w:t>Threats take a toll:</w:t>
      </w:r>
      <w:r>
        <w:t xml:space="preserve"> Gender identity-based victimisation was also linked to substantially higher risk.</w:t>
      </w:r>
      <w:r/>
    </w:p>
    <w:p>
      <w:pPr>
        <w:pStyle w:val="ListBullet"/>
        <w:spacing w:line="240" w:lineRule="auto"/>
        <w:ind w:left="720"/>
      </w:pPr>
      <w:r/>
      <w:r>
        <w:rPr>
          <w:b/>
        </w:rPr>
        <w:t>Conversion therapy warning:</w:t>
      </w:r>
      <w:r>
        <w:t xml:space="preserve"> Exposure to, or threats of, conversion therapy was associated with nearly three times the odds of suicidal ideation.</w:t>
      </w:r>
      <w:r/>
      <w:r/>
    </w:p>
    <w:p>
      <w:pPr>
        <w:pStyle w:val="Heading2"/>
      </w:pPr>
      <w:r>
        <w:t>A troubling picture with one cautiously hopeful sign</w:t>
      </w:r>
      <w:r/>
    </w:p>
    <w:p>
      <w:r/>
      <w:r>
        <w:t>The strongest message from Project SPARK is that LGBTQ youth mental health can't be reduced to a single trend line. According to The Trevor Project's research, young people still report high levels of anxiety, depression and suicidal thoughts, but self-harm and suicide attempts declined somewhat during the first two years of follow-up.</w:t>
      </w:r>
      <w:r/>
    </w:p>
    <w:p>
      <w:r/>
      <w:r>
        <w:t>That distinction matters. A reduction in some of the most acute outcomes is encouraging, yet it doesn't mean the wider crisis has passed. As The Trevor Project's research materials make clear, many young people continue to face pressure that follows them from school and home life into their wider communities.</w:t>
      </w:r>
      <w:r/>
    </w:p>
    <w:p>
      <w:r/>
      <w:r>
        <w:t>Project SPARK is particularly valuable because it follows the same participants over time, rather than taking one snapshot. The study collected information every six months, giving researchers a better sense of how circumstances and mental health can shift.</w:t>
      </w:r>
      <w:r/>
    </w:p>
    <w:p>
      <w:pPr>
        <w:pStyle w:val="Heading2"/>
      </w:pPr>
      <w:r>
        <w:t>Why Project SPARK matters</w:t>
      </w:r>
      <w:r/>
    </w:p>
    <w:p>
      <w:r/>
      <w:r>
        <w:t>The study is following 1,689 LGBTQ+ teenagers and young adults aged 13 to 24 across the US. The Trevor Project describes it as its first longitudinal study, allowing researchers to examine both risks and protective factors as participants move through early adolescence and young adulthood.</w:t>
      </w:r>
      <w:r/>
    </w:p>
    <w:p>
      <w:r/>
      <w:r>
        <w:t>That approach adds texture to familiar survey findings. Instead of simply asking how young people feel at one moment, researchers can explore what happens after changes in housing, exposure to discrimination or contact with supportive people. The Trevor Project's background information places those experiences at the centre of understanding LGBTQ youth wellbeing.</w:t>
      </w:r>
      <w:r/>
    </w:p>
    <w:p>
      <w:r/>
      <w:r>
        <w:t>For families, schools and youth services, this is more useful than a headline figure alone. Mental health can change, but the conditions surrounding a young person often change with it.</w:t>
      </w:r>
      <w:r/>
    </w:p>
    <w:p>
      <w:pPr>
        <w:pStyle w:val="Heading2"/>
      </w:pPr>
      <w:r>
        <w:t>Housing insecurity is a serious warning sign</w:t>
      </w:r>
      <w:r/>
    </w:p>
    <w:p>
      <w:r/>
      <w:r>
        <w:t>One of the clearest concerns is houselessness. The proportion of participants reporting it in the previous year rose from 7% at the one-year follow-up to 13% at the two-year mark, according to the study findings reported by the Bay Area Reporter.</w:t>
      </w:r>
      <w:r/>
    </w:p>
    <w:p>
      <w:r/>
      <w:r>
        <w:t>Young people who experienced houselessness had more than twice the odds of self-harm and suicidal thoughts. That link isn't surprising: losing stable accommodation can also mean losing privacy, safety, routine and access to trusted adults or healthcare.</w:t>
      </w:r>
      <w:r/>
    </w:p>
    <w:p>
      <w:r/>
      <w:r>
        <w:t>The Trevor Project's research on LGBTQ youth mental health repeatedly points to basic needs as part of the picture. A young person can't easily focus on recovery when they're worried about where they'll sleep, whether they'll be safe or how they'll manage the next day.</w:t>
      </w:r>
      <w:r/>
    </w:p>
    <w:p>
      <w:pPr>
        <w:pStyle w:val="Heading2"/>
      </w:pPr>
      <w:r>
        <w:t>Threats and conversion therapy deepen the risk</w:t>
      </w:r>
      <w:r/>
    </w:p>
    <w:p>
      <w:r/>
      <w:r>
        <w:t>Gender identity-based victimisation was another major concern. Gender-nonconforming participants reporting physical threats linked to their identity rose from 38% to 41% over the two years, while 31% reported physical threats tied to sexual orientation. The researchers noted that these changes weren't statistically significant, but the figures still show how common intimidation remains.</w:t>
      </w:r>
      <w:r/>
    </w:p>
    <w:p>
      <w:r/>
      <w:r>
        <w:t>The association with mental health was stark. Gender identity-based victimisation more than doubled the odds of self-harm and suicidal ideation, according to the findings. For young people already navigating isolation or rejection, a threat can make the outside world feel smaller and more dangerous.</w:t>
      </w:r>
      <w:r/>
    </w:p>
    <w:p>
      <w:r/>
      <w:r>
        <w:t>Conversion therapy was linked to an even sharper increase in risk. Participants exposed to, or threatened with, the practice had nearly three times the odds of suicidal ideation. Reports of threats rose from 12% to 22%, while those reporting that they had undergone conversion therapy increased from 9% to 16%.</w:t>
      </w:r>
      <w:r/>
    </w:p>
    <w:p>
      <w:pPr>
        <w:pStyle w:val="Heading2"/>
      </w:pPr>
      <w:r>
        <w:t>What parents, schools and services can do</w:t>
      </w:r>
      <w:r/>
    </w:p>
    <w:p>
      <w:r/>
      <w:r>
        <w:t>The findings point towards practical priorities, even if there isn't one instant fix. Safe housing, affirming adults and quick access to mental health support can help remove some of the pressure surrounding LGBTQ young people.</w:t>
      </w:r>
      <w:r/>
    </w:p>
    <w:p>
      <w:r/>
      <w:r>
        <w:t>Schools and youth organisations should also treat threats and harassment as wellbeing issues, not merely disciplinary incidents. A young person who is being targeted over their identity may need protection, a trusted point of contact and confidential support, rather than being left to manage the situation alone.</w:t>
      </w:r>
      <w:r/>
    </w:p>
    <w:p>
      <w:r/>
      <w:r>
        <w:t>The legal backdrop remains unsettled. The Bay Area Reporter noted that the US Supreme Court's decision in Chiles v. Salazar struck down Colorado's ban on conversion therapy for minors on free speech grounds and sent similar restrictions back for review. That uncertainty is especially unsettling for families and advocates already trying to protect vulnerable teenagers.</w:t>
      </w:r>
      <w:r/>
    </w:p>
    <w:p>
      <w:r/>
      <w:r>
        <w:t>Project SPARK doesn't offer a neat ending, but it does make one thing clear: support has to extend beyond crisis response. Stable homes, safety and respect are not extras in LGBTQ youth mental health care. They're part of the foundation.</w:t>
      </w:r>
      <w:r/>
    </w:p>
    <w:p>
      <w:pPr>
        <w:pStyle w:val="Heading2"/>
      </w:pPr>
      <w:r>
        <w:t>A mixed result that still demands action</w:t>
      </w:r>
      <w:r/>
    </w:p>
    <w:p>
      <w:r/>
      <w:r>
        <w:t>The modest fall in self-harm and suicide attempts offers a reason to keep investing in support, not a reason to step back. The continuing levels of anxiety, depression and suicidal thinking show that many young people remain under strain.</w:t>
      </w:r>
      <w:r/>
    </w:p>
    <w:p>
      <w:r/>
      <w:r>
        <w:t>The most useful lesson may be that prevention lives in everyday conditions. A safe adult, secure accommodation or affirming service can sound ordinary, but for a young person under pressure, those things can be life-changing.</w:t>
      </w:r>
      <w:r/>
    </w:p>
    <w:p>
      <w:r/>
      <w:r>
        <w:t>It's progress worth noticing, but not permission to look away.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2">
        <w:r>
          <w:rPr>
            <w:color w:val="0000EE"/>
            <w:u w:val="single"/>
          </w:rPr>
          <w:t>[4]</w:t>
        </w:r>
      </w:hyperlink>
      <w:r>
        <w:t xml:space="preserve">- Paragraph 4: </w:t>
      </w:r>
      <w:hyperlink r:id="rId11">
        <w:r>
          <w:rPr>
            <w:color w:val="0000EE"/>
            <w:u w:val="single"/>
          </w:rPr>
          <w:t>[3]</w:t>
        </w:r>
      </w:hyperlink>
      <w:r>
        <w:t xml:space="preserve">, </w:t>
      </w:r>
      <w:hyperlink r:id="rId14">
        <w:r>
          <w:rPr>
            <w:color w:val="0000EE"/>
            <w:u w:val="single"/>
          </w:rPr>
          <w:t>[7]</w:t>
        </w:r>
      </w:hyperlink>
      <w:r>
        <w:t xml:space="preserve">- Paragraph 5: </w:t>
      </w:r>
      <w:hyperlink r:id="rId10">
        <w:r>
          <w:rPr>
            <w:color w:val="0000EE"/>
            <w:u w:val="single"/>
          </w:rPr>
          <w:t>[2]</w:t>
        </w:r>
      </w:hyperlink>
      <w:r>
        <w:t xml:space="preserve">, </w:t>
      </w:r>
      <w:hyperlink r:id="rId11">
        <w:r>
          <w:rPr>
            <w:color w:val="0000EE"/>
            <w:u w:val="single"/>
          </w:rPr>
          <w:t>[3]</w:t>
        </w:r>
      </w:hyperlink>
      <w:r>
        <w:t xml:space="preserve">- Paragraph 6: </w:t>
      </w:r>
      <w:hyperlink r:id="rId12">
        <w:r>
          <w:rPr>
            <w:color w:val="0000EE"/>
            <w:u w:val="single"/>
          </w:rPr>
          <w:t>[4]</w:t>
        </w:r>
      </w:hyperlink>
      <w:r>
        <w:t xml:space="preserve">, </w:t>
      </w:r>
      <w:hyperlink r:id="rId13">
        <w:r>
          <w:rPr>
            <w:color w:val="0000EE"/>
            <w:u w:val="single"/>
          </w:rPr>
          <w:t>[5]</w:t>
        </w:r>
      </w:hyperlink>
      <w:r>
        <w:t xml:space="preserve">- Paragraph 7: </w:t>
      </w:r>
      <w:hyperlink r:id="rId11">
        <w:r>
          <w:rPr>
            <w:color w:val="0000EE"/>
            <w:u w:val="single"/>
          </w:rPr>
          <w:t>[3]</w:t>
        </w:r>
      </w:hyperlink>
      <w:r>
        <w:t xml:space="preserve">, </w:t>
      </w:r>
      <w:hyperlink r:id="rId14">
        <w:r>
          <w:rPr>
            <w:color w:val="0000EE"/>
            <w:u w:val="single"/>
          </w:rPr>
          <w:t>[7]</w:t>
        </w:r>
      </w:hyperlink>
      <w:r>
        <w:t xml:space="preserve">- Paragraph 8: </w:t>
      </w:r>
      <w:hyperlink r:id="rId10">
        <w:r>
          <w:rPr>
            <w:color w:val="0000EE"/>
            <w:u w:val="single"/>
          </w:rPr>
          <w:t>[2]</w:t>
        </w:r>
      </w:hyperlink>
      <w:r>
        <w:t xml:space="preserve">, </w:t>
      </w:r>
      <w:hyperlink r:id="rId11">
        <w:r>
          <w:rPr>
            <w:color w:val="0000EE"/>
            <w:u w:val="single"/>
          </w:rPr>
          <w:t>[3]</w:t>
        </w:r>
      </w:hyperlink>
      <w:r>
        <w:t xml:space="preserve">- Paragraph 9: </w:t>
      </w:r>
      <w:hyperlink r:id="rId11">
        <w:r>
          <w:rPr>
            <w:color w:val="0000EE"/>
            <w:u w:val="single"/>
          </w:rPr>
          <w:t>[3]</w:t>
        </w:r>
      </w:hyperlink>
      <w:r>
        <w:t xml:space="preserve">, </w:t>
      </w:r>
      <w:hyperlink r:id="rId15">
        <w:r>
          <w:rPr>
            <w:color w:val="0000EE"/>
            <w:u w:val="single"/>
          </w:rPr>
          <w:t>[6]</w:t>
        </w:r>
      </w:hyperlink>
      <w:r>
        <w:t xml:space="preserve">- Paragraph 10: </w:t>
      </w:r>
      <w:hyperlink r:id="rId15">
        <w:r>
          <w:rPr>
            <w:color w:val="0000EE"/>
            <w:u w:val="single"/>
          </w:rPr>
          <w:t>[6]</w:t>
        </w:r>
      </w:hyperlink>
      <w:r>
        <w:t xml:space="preserve">, </w:t>
      </w:r>
      <w:hyperlink r:id="rId14">
        <w:r>
          <w:rPr>
            <w:color w:val="0000EE"/>
            <w:u w:val="single"/>
          </w:rPr>
          <w:t>[7]</w:t>
        </w:r>
      </w:hyperlink>
      <w:r>
        <w:t xml:space="preserve">- Paragraph 11: </w:t>
      </w:r>
      <w:hyperlink r:id="rId12">
        <w:r>
          <w:rPr>
            <w:color w:val="0000EE"/>
            <w:u w:val="single"/>
          </w:rPr>
          <w:t>[4]</w:t>
        </w:r>
      </w:hyperlink>
      <w:r>
        <w:t xml:space="preserve">, </w:t>
      </w:r>
      <w:hyperlink r:id="rId13">
        <w:r>
          <w:rPr>
            <w:color w:val="0000EE"/>
            <w:u w:val="single"/>
          </w:rPr>
          <w:t>[5]</w:t>
        </w:r>
      </w:hyperlink>
      <w:r>
        <w:t xml:space="preserve">- Paragraph 12: </w:t>
      </w:r>
      <w:hyperlink r:id="rId10">
        <w:r>
          <w:rPr>
            <w:color w:val="0000EE"/>
            <w:u w:val="single"/>
          </w:rPr>
          <w:t>[2]</w:t>
        </w:r>
      </w:hyperlink>
      <w:r>
        <w:t xml:space="preserve">, </w:t>
      </w:r>
      <w:hyperlink r:id="rId11">
        <w:r>
          <w:rPr>
            <w:color w:val="0000EE"/>
            <w:u w:val="single"/>
          </w:rPr>
          <w:t>[3]</w:t>
        </w:r>
      </w:hyperlink>
      <w:r>
        <w:t xml:space="preserve">- Paragraph 13: </w:t>
      </w:r>
      <w:hyperlink r:id="rId13">
        <w:r>
          <w:rPr>
            <w:color w:val="0000EE"/>
            <w:u w:val="single"/>
          </w:rPr>
          <w:t>[5]</w:t>
        </w:r>
      </w:hyperlink>
      <w:r>
        <w:t xml:space="preserve">, </w:t>
      </w:r>
      <w:hyperlink r:id="rId15">
        <w:r>
          <w:rPr>
            <w:color w:val="0000EE"/>
            <w:u w:val="single"/>
          </w:rPr>
          <w:t>[6]</w:t>
        </w:r>
      </w:hyperlink>
      <w:r>
        <w:t xml:space="preserve">- Paragraph 14: </w:t>
      </w:r>
      <w:hyperlink r:id="rId14">
        <w:r>
          <w:rPr>
            <w:color w:val="0000EE"/>
            <w:u w:val="single"/>
          </w:rPr>
          <w:t>[7]</w:t>
        </w:r>
      </w:hyperlink>
      <w:r>
        <w:t xml:space="preserve">, </w:t>
      </w:r>
      <w:hyperlink r:id="rId15">
        <w:r>
          <w:rPr>
            <w:color w:val="0000EE"/>
            <w:u w:val="single"/>
          </w:rPr>
          <w:t>[6]</w:t>
        </w:r>
      </w:hyperlink>
      <w:r>
        <w:t xml:space="preserve">- Paragraph 15: </w:t>
      </w:r>
      <w:hyperlink r:id="rId10">
        <w:r>
          <w:rPr>
            <w:color w:val="0000EE"/>
            <w:u w:val="single"/>
          </w:rPr>
          <w:t>[2]</w:t>
        </w:r>
      </w:hyperlink>
      <w:r>
        <w:t xml:space="preserve">, </w:t>
      </w:r>
      <w:hyperlink r:id="rId12">
        <w:r>
          <w:rPr>
            <w:color w:val="0000EE"/>
            <w:u w:val="single"/>
          </w:rPr>
          <w:t>[4]</w:t>
        </w:r>
      </w:hyperlink>
      <w:r>
        <w:t xml:space="preserve">- Paragraph 16: </w:t>
      </w:r>
      <w:hyperlink r:id="rId11">
        <w:r>
          <w:rPr>
            <w:color w:val="0000EE"/>
            <w:u w:val="single"/>
          </w:rPr>
          <w:t>[3]</w:t>
        </w:r>
      </w:hyperlink>
      <w:r>
        <w:t xml:space="preserve">, </w:t>
      </w:r>
      <w:hyperlink r:id="rId13">
        <w:r>
          <w:rPr>
            <w:color w:val="0000EE"/>
            <w:u w:val="single"/>
          </w:rPr>
          <w:t>[5]</w:t>
        </w:r>
      </w:hyperlink>
      <w:r>
        <w:t xml:space="preserve">- Paragraph 17: </w:t>
      </w:r>
      <w:hyperlink r:id="rId15">
        <w:r>
          <w:rPr>
            <w:color w:val="0000EE"/>
            <w:u w:val="single"/>
          </w:rPr>
          <w:t>[6]</w:t>
        </w:r>
      </w:hyperlink>
      <w:r>
        <w:t xml:space="preserve">, </w:t>
      </w:r>
      <w:hyperlink r:id="rId14">
        <w:r>
          <w:rPr>
            <w:color w:val="0000EE"/>
            <w:u w:val="single"/>
          </w:rPr>
          <w:t>[7]</w:t>
        </w:r>
      </w:hyperlink>
      <w:r>
        <w:t xml:space="preserve">- Paragraph 18: </w:t>
      </w:r>
      <w:hyperlink r:id="rId10">
        <w:r>
          <w:rPr>
            <w:color w:val="0000EE"/>
            <w:u w:val="single"/>
          </w:rPr>
          <w:t>[2]</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https://www.ebar.com/story/171291/</w:t>
        </w:r>
      </w:hyperlink>
      <w:r>
        <w:t xml:space="preserve"> - Please view link - unable to able to access data</w:t>
      </w:r>
      <w:r/>
    </w:p>
    <w:p>
      <w:pPr>
        <w:pStyle w:val="ListNumber"/>
        <w:spacing w:line="240" w:lineRule="auto"/>
        <w:ind w:left="720"/>
      </w:pPr>
      <w:r/>
      <w:hyperlink r:id="rId10">
        <w:r>
          <w:rPr>
            <w:color w:val="0000EE"/>
            <w:u w:val="single"/>
          </w:rPr>
          <w:t>https://www.thetrevorproject.org/project-spark-interim-report-a-longitudinal-study/</w:t>
        </w:r>
      </w:hyperlink>
      <w:r>
        <w:t xml:space="preserve"> - The Trevor Project's Project SPARK is a longitudinal study following 1,689 LGBTQ+ youth aged 13–24 across the United States. The interim report presents findings from the first year of data collection, highlighting the urgent mental health crisis among LGBTQ+ youth, particularly those who are transgender, nonbinary, or questioning. The study underscores the protective effects of family support, affirming environments, and access to culturally competent mental health and transgender health care. The findings aim to inform families, educators, healthcare providers, policymakers, and community organisations seeking to support LGBTQ+ youth.</w:t>
      </w:r>
      <w:r/>
    </w:p>
    <w:p>
      <w:pPr>
        <w:pStyle w:val="ListNumber"/>
        <w:spacing w:line="240" w:lineRule="auto"/>
        <w:ind w:left="720"/>
      </w:pPr>
      <w:r/>
      <w:hyperlink r:id="rId11">
        <w:r>
          <w:rPr>
            <w:color w:val="0000EE"/>
            <w:u w:val="single"/>
          </w:rPr>
          <w:t>https://www.thetrevorproject.org/project-spark-interim-report-a-longitudinal-study-key-domains/</w:t>
        </w:r>
      </w:hyperlink>
      <w:r>
        <w:t xml:space="preserve"> - This section of The Trevor Project's Project SPARK interim report outlines the key domains measured in the study, including mental health outcomes, risk factors, and protective factors. Mental health outcomes assessed include suicidal ideation, attempted suicide, and anxiety. Risk factors examined encompass experiences of discrimination and victimisation, while protective factors include family support, access to mental health care, and affirming environments. The report provides a comprehensive overview of the methodologies used to track changes in these areas over time among LGBTQ+ youth.</w:t>
      </w:r>
      <w:r/>
    </w:p>
    <w:p>
      <w:pPr>
        <w:pStyle w:val="ListNumber"/>
        <w:spacing w:line="240" w:lineRule="auto"/>
        <w:ind w:left="720"/>
      </w:pPr>
      <w:r/>
      <w:hyperlink r:id="rId12">
        <w:r>
          <w:rPr>
            <w:color w:val="0000EE"/>
            <w:u w:val="single"/>
          </w:rPr>
          <w:t>https://www.thetrevorproject.org/project-spark-interim-report-a-longitudinal-study-background/</w:t>
        </w:r>
      </w:hyperlink>
      <w:r>
        <w:t xml:space="preserve"> - The background section of The Trevor Project's Project SPARK interim report discusses the rationale, study design, methodology, and timeline of the study. It addresses the significant mental health disparities faced by LGBTQ+ youth, particularly those who are transgender, nonbinary, or questioning, and the lack of longitudinal data on their experiences. The study aims to fill these gaps by examining how the experiences and mental health of a diverse sample of LGBTQ+ young people change over time, providing critical insights for developing targeted interventions and policies.</w:t>
      </w:r>
      <w:r/>
    </w:p>
    <w:p>
      <w:pPr>
        <w:pStyle w:val="ListNumber"/>
        <w:spacing w:line="240" w:lineRule="auto"/>
        <w:ind w:left="720"/>
      </w:pPr>
      <w:r/>
      <w:hyperlink r:id="rId13">
        <w:r>
          <w:rPr>
            <w:color w:val="0000EE"/>
            <w:u w:val="single"/>
          </w:rPr>
          <w:t>https://www.thetrevorproject.org/research-/</w:t>
        </w:r>
      </w:hyperlink>
      <w:r>
        <w:t xml:space="preserve"> - The Trevor Project's research page provides access to various studies and publications related to LGBTQ+ youth mental health. It includes the Project SPARK interim report, which follows 1,689 LGBTQ+ youth aged 13–24 across the United States, and other peer-reviewed publications. The research focuses on understanding the mental health and lived experiences of LGBTQ+ youth, highlighting the importance of family support, affirming environments, and access to culturally competent mental health and transgender health care in promoting well-being.</w:t>
      </w:r>
      <w:r/>
    </w:p>
    <w:p>
      <w:pPr>
        <w:pStyle w:val="ListNumber"/>
        <w:spacing w:line="240" w:lineRule="auto"/>
        <w:ind w:left="720"/>
      </w:pPr>
      <w:r/>
      <w:hyperlink r:id="rId15">
        <w:r>
          <w:rPr>
            <w:color w:val="0000EE"/>
            <w:u w:val="single"/>
          </w:rPr>
          <w:t>https://www.thetrevorproject.org/blog/new-study-shows-lgbtq-youth-mental-health-crisis-is-worsening-in-the-u-s/</w:t>
        </w:r>
      </w:hyperlink>
      <w:r>
        <w:t xml:space="preserve"> - This blog post by The Trevor Project discusses the findings from its first-ever longitudinal study, Project SPARK, which followed over 1,600 LGBTQ+ youth from September 2023 through March 2025. The study revealed increases in anxiety, depression, and suicidal ideation among LGBTQ+ youth, highlighting the worsening mental health crisis. The post emphasises the need for supportive environments and access to mental health care to address these challenges and calls for action from lawmakers, community leaders, and youth-serving professionals to support the health and safety of LGBTQ+ young people.</w:t>
      </w:r>
      <w:r/>
    </w:p>
    <w:p>
      <w:pPr>
        <w:pStyle w:val="ListNumber"/>
        <w:spacing w:line="240" w:lineRule="auto"/>
        <w:ind w:left="720"/>
      </w:pPr>
      <w:r/>
      <w:hyperlink r:id="rId14">
        <w:r>
          <w:rPr>
            <w:color w:val="0000EE"/>
            <w:u w:val="single"/>
          </w:rPr>
          <w:t>https://www.axios.com/2025/10/16/lgbtq-mental-health-trevor-project-report</w:t>
        </w:r>
      </w:hyperlink>
      <w:r>
        <w:t xml:space="preserve"> - An Axios article reports on The Trevor Project's findings from a longitudinal study of 1,689 LGBTQ+ youth aged 13 to 24, conducted between September 2023 and March 2025. The study showed increases in anxiety, depression, and suicidal ideation among LGBTQ+ youth, with a significant decrease in access to mental health care. The article discusses the barriers to mental health care, including affordability, stigma, and fear of involuntary hospitalization, and highlights the impact of political influences on the mental health of LGBTQ+ youth.</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ebar.com/story/171291/" TargetMode="External"/><Relationship Id="rId10" Type="http://schemas.openxmlformats.org/officeDocument/2006/relationships/hyperlink" Target="https://www.thetrevorproject.org/project-spark-interim-report-a-longitudinal-study/" TargetMode="External"/><Relationship Id="rId11" Type="http://schemas.openxmlformats.org/officeDocument/2006/relationships/hyperlink" Target="https://www.thetrevorproject.org/project-spark-interim-report-a-longitudinal-study-key-domains/" TargetMode="External"/><Relationship Id="rId12" Type="http://schemas.openxmlformats.org/officeDocument/2006/relationships/hyperlink" Target="https://www.thetrevorproject.org/project-spark-interim-report-a-longitudinal-study-background/" TargetMode="External"/><Relationship Id="rId13" Type="http://schemas.openxmlformats.org/officeDocument/2006/relationships/hyperlink" Target="https://www.thetrevorproject.org/research-/" TargetMode="External"/><Relationship Id="rId14" Type="http://schemas.openxmlformats.org/officeDocument/2006/relationships/hyperlink" Target="https://www.axios.com/2025/10/16/lgbtq-mental-health-trevor-project-report" TargetMode="External"/><Relationship Id="rId15" Type="http://schemas.openxmlformats.org/officeDocument/2006/relationships/hyperlink" Target="https://www.thetrevorproject.org/blog/new-study-shows-lgbtq-youth-mental-health-crisis-is-worsening-in-the-u-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