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Corporate Equality Index Guide: What Shareholders Should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Investors are taking a closer look at the Corporate Equality Index, the Human Rights Campaign's annual workplace benchmark, after a 2024 shareholder campaign reached more than 400 US-listed businesses. The debate matters because companies are weighing inclusion policies, customer reaction, employee expectations and potential legal exposure while trying to protect long-term value.</w:t>
      </w:r>
      <w:r/>
    </w:p>
    <w:p>
      <w:pPr>
        <w:pStyle w:val="Heading2"/>
      </w:pPr>
      <w:r>
        <w:t>Essential Takeaways</w:t>
      </w:r>
      <w:r/>
      <w:r/>
    </w:p>
    <w:p>
      <w:pPr>
        <w:pStyle w:val="ListBullet"/>
        <w:spacing w:line="240" w:lineRule="auto"/>
        <w:ind w:left="720"/>
      </w:pPr>
      <w:r/>
      <w:r>
        <w:rPr>
          <w:b/>
        </w:rPr>
        <w:t>The campaign was broad:</w:t>
      </w:r>
      <w:r>
        <w:t xml:space="preserve"> Bowyer Research contacted 160 companies linked with top Corporate Equality Index scores and nearly 400 over Pride Month messaging.</w:t>
      </w:r>
      <w:r/>
    </w:p>
    <w:p>
      <w:pPr>
        <w:pStyle w:val="ListBullet"/>
        <w:spacing w:line="240" w:lineRule="auto"/>
        <w:ind w:left="720"/>
      </w:pPr>
      <w:r/>
      <w:r>
        <w:rPr>
          <w:b/>
        </w:rPr>
        <w:t>The index is influential:</w:t>
      </w:r>
      <w:r>
        <w:t xml:space="preserve"> HRC says the benchmark has attracted record business participation, while critics argue its requirements have become increasingly prescriptive.</w:t>
      </w:r>
      <w:r/>
    </w:p>
    <w:p>
      <w:pPr>
        <w:pStyle w:val="ListBullet"/>
        <w:spacing w:line="240" w:lineRule="auto"/>
        <w:ind w:left="720"/>
      </w:pPr>
      <w:r/>
      <w:r>
        <w:rPr>
          <w:b/>
        </w:rPr>
        <w:t>Brand risk is real:</w:t>
      </w:r>
      <w:r>
        <w:t xml:space="preserve"> Bud Light and Target became prominent examples of how divisive marketing can trigger boycotts, lost sales and reputational damage.</w:t>
      </w:r>
      <w:r/>
    </w:p>
    <w:p>
      <w:pPr>
        <w:pStyle w:val="ListBullet"/>
        <w:spacing w:line="240" w:lineRule="auto"/>
        <w:ind w:left="720"/>
      </w:pPr>
      <w:r/>
      <w:r>
        <w:rPr>
          <w:b/>
        </w:rPr>
        <w:t>Boards face a balancing act:</w:t>
      </w:r>
      <w:r>
        <w:t xml:space="preserve"> Companies must consider employee inclusion, free expression, customer sentiment and their fiduciary duties.</w:t>
      </w:r>
      <w:r/>
    </w:p>
    <w:p>
      <w:pPr>
        <w:pStyle w:val="ListBullet"/>
        <w:spacing w:line="240" w:lineRule="auto"/>
        <w:ind w:left="720"/>
      </w:pPr>
      <w:r/>
      <w:r>
        <w:rPr>
          <w:b/>
        </w:rPr>
        <w:t>The debate is changing:</w:t>
      </w:r>
      <w:r>
        <w:t xml:space="preserve"> Axios reported that several large companies, including Ford and Lowe's, have reconsidered parts of their relationship with HRC-linked initiatives.</w:t>
      </w:r>
      <w:r/>
      <w:r/>
    </w:p>
    <w:p>
      <w:pPr>
        <w:pStyle w:val="Heading2"/>
      </w:pPr>
      <w:r>
        <w:t>Why the Corporate Equality Index is under the microscope</w:t>
      </w:r>
      <w:r/>
    </w:p>
    <w:p>
      <w:r/>
      <w:r>
        <w:t>The Corporate Equality Index began as a way to compare workplace policies, benefits and public commitments affecting LGBTQ+ employees. Over time, it has grown into a major corporate benchmark, with businesses often highlighting a score of 100 in recruitment material, annual reports and public-facing communications.</w:t>
      </w:r>
      <w:r/>
    </w:p>
    <w:p>
      <w:r/>
      <w:r>
        <w:t>According to HRC Foundation, participation reached record levels in its 2023-2024 report, showing that many employers still view the index as a useful signal of workplace standards. That support is important context, because the current dispute isn't simply about a score. It's about who gets to define responsible corporate behaviour.</w:t>
      </w:r>
      <w:r/>
    </w:p>
    <w:p>
      <w:r/>
      <w:r>
        <w:t>Critics argue that companies can become too dependent on an outside advocacy framework, particularly when criteria change or move into politically contested territory. Supporters, meanwhile, see the index as a practical way to encourage consistent protections and benefits. The argument is unlikely to disappear just because some boards would prefer quieter times.</w:t>
      </w:r>
      <w:r/>
    </w:p>
    <w:p>
      <w:pPr>
        <w:pStyle w:val="Heading2"/>
      </w:pPr>
      <w:r>
        <w:t>Shareholders are asking whether inclusion has become activism</w:t>
      </w:r>
      <w:r/>
    </w:p>
    <w:p>
      <w:r/>
      <w:r>
        <w:t>The 2024 campaign described by the Heritage Foundation involved direct approaches to businesses across technology, finance, healthcare, retail, energy and consumer goods. Its central question was straightforward: should a company publicly align itself with an advocacy organisation when customers, investors and employees may hold sharply different views?</w:t>
      </w:r>
      <w:r/>
    </w:p>
    <w:p>
      <w:r/>
      <w:r>
        <w:t>That question has become more urgent as corporate leaders reassess political messaging. Axios reported that companies including Ford and Lowe's had stepped back from some LGBTQ+ initiatives after pressure from activist Robby Starbuck and wider scrutiny of corporate diversity programmes. Such moves don't necessarily signal a rejection of equal treatment. Often, they reflect a desire to separate workplace conduct from public campaigning.</w:t>
      </w:r>
      <w:r/>
    </w:p>
    <w:p>
      <w:r/>
      <w:r>
        <w:t>HRC's position is markedly different. Its corporate index presents participation as evidence that employers are building fairer workplaces, and its 2025 announcement said companies that pulled back from inclusion commitments could lose points. So businesses are caught between two competing signals: one says visible alignment demonstrates values, while the other says neutrality is safer governance.</w:t>
      </w:r>
      <w:r/>
    </w:p>
    <w:p>
      <w:pPr>
        <w:pStyle w:val="Heading2"/>
      </w:pPr>
      <w:r>
        <w:t>Bud Light and Target show how quickly brand risk can spread</w:t>
      </w:r>
      <w:r/>
    </w:p>
    <w:p>
      <w:r/>
      <w:r>
        <w:t>Few marketing disputes have travelled faster than the backlash around Bud Light's partnership with Dylan Mulvaney. Fox Business reported that investors associated the episode with billions of dollars in lost market value across Anheuser-Busch's parent company, alongside falling sales and a prolonged hit to the brand's position.</w:t>
      </w:r>
      <w:r/>
    </w:p>
    <w:p>
      <w:r/>
      <w:r>
        <w:t>Target faced a similarly bruising episode after criticism of its 2023 Pride range and shop displays. The company reduced the scale of its following campaign, a move widely read as an attempt to lower the temperature after customer protests and threats. Whatever view shoppers held on the underlying issue, the commercial lesson was clear: a retail decision can become a national political story overnight.</w:t>
      </w:r>
      <w:r/>
    </w:p>
    <w:p>
      <w:r/>
      <w:r>
        <w:t>That doesn't prove every Pride campaign will damage sales, nor does it mean brands should avoid any social message. It does show why audience research, product relevance and careful execution matter. Customers are more likely to accept a message when it feels connected to the business, rather than bolted on for a particular month.</w:t>
      </w:r>
      <w:r/>
    </w:p>
    <w:p>
      <w:pPr>
        <w:pStyle w:val="Heading2"/>
      </w:pPr>
      <w:r>
        <w:t>Children, benefits and workplace policies raise the stakes</w:t>
      </w:r>
      <w:r/>
    </w:p>
    <w:p>
      <w:r/>
      <w:r>
        <w:t>The most sensitive questions concern policies involving children, including health benefits and marketing. The Heritage report argues that coverage for gender-related treatments for minor dependants can create legal and reputational complications as state laws and medical guidance continue to shift. Companies considering such benefits need specialist advice, not a box-ticking exercise aimed at securing a benchmark score.</w:t>
      </w:r>
      <w:r/>
    </w:p>
    <w:p>
      <w:r/>
      <w:r>
        <w:t>Marketing to families brings a different but equally powerful risk. Parents tend to scrutinise anything that appears sexualised, suggestive or politically charged around children, and the emotional response can be swift. A quiet display decision can suddenly become a phone-camera moment, then a headline, then a boycott.</w:t>
      </w:r>
      <w:r/>
    </w:p>
    <w:p>
      <w:r/>
      <w:r>
        <w:t>Inside the workplace, compulsory training and visible symbols can also create tension. HRC supporters say such measures help employees feel recognised and protected. Critics argue that mandatory ideological statements may conflict with religious or personal convictions. The sensible response for boards is to make participation respectful and meaningful while ensuring employees aren't pressured into affirmations unrelated to their jobs.</w:t>
      </w:r>
      <w:r/>
    </w:p>
    <w:p>
      <w:pPr>
        <w:pStyle w:val="Heading2"/>
      </w:pPr>
      <w:r>
        <w:t>What should companies do next?</w:t>
      </w:r>
      <w:r/>
    </w:p>
    <w:p>
      <w:r/>
      <w:r>
        <w:t>A cautious company doesn't need to abandon inclusion. It should define inclusion in terms that are clear, lawful and genuinely open to everyone. That means protecting employees from discrimination while avoiding unnecessary political tests, reviewing benefits with current legal advice and checking that public campaigns support the brand rather than distract from it.</w:t>
      </w:r>
      <w:r/>
    </w:p>
    <w:p>
      <w:r/>
      <w:r>
        <w:t>Boards should also ask practical questions before chasing any external score. Does the policy improve recruitment or retention? Is it consistent across jurisdictions? Could it expose the business to litigation? How will customers, employees and shareholders with different views experience it? And is the company prepared to explain the decision in plain English?</w:t>
      </w:r>
      <w:r/>
    </w:p>
    <w:p>
      <w:r/>
      <w:r>
        <w:t>HRC's record participation figures show that many businesses still consider the index valuable. The growing number of corporate pullbacks shows that others no longer see public alignment as cost-free. For ordinary investors, the useful takeaway is not to cheer or condemn automatically, but to examine whether a company's choices are connected to sound governance, customer trust and long-term performance.</w:t>
      </w:r>
      <w:r/>
    </w:p>
    <w:p>
      <w:r/>
      <w:r>
        <w:rPr>
          <w:b/>
        </w:rPr>
        <w:t>The smartest corporate strategy may be inclusion with clear boundaries, not activism by default.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0">
        <w:r>
          <w:rPr>
            <w:color w:val="0000EE"/>
            <w:u w:val="single"/>
          </w:rPr>
          <w:t>[6]</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9">
        <w:r>
          <w:rPr>
            <w:color w:val="0000EE"/>
            <w:u w:val="single"/>
          </w:rPr>
          <w:t>[2]</w:t>
        </w:r>
      </w:hyperlink>
      <w:r>
        <w:t xml:space="preserve">- Paragraph 7: </w:t>
      </w:r>
      <w:hyperlink r:id="rId14">
        <w:r>
          <w:rPr>
            <w:color w:val="0000EE"/>
            <w:u w:val="single"/>
          </w:rPr>
          <w:t>[5]</w:t>
        </w:r>
      </w:hyperlink>
      <w:r>
        <w:t xml:space="preserve">, </w:t>
      </w:r>
      <w:hyperlink r:id="rId12">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[6]</w:t>
        </w:r>
      </w:hyperlink>
      <w:r>
        <w:t xml:space="preserve">- Paragraph 9: </w:t>
      </w:r>
      <w:hyperlink r:id="rId9">
        <w:r>
          <w:rPr>
            <w:color w:val="0000EE"/>
            <w:u w:val="single"/>
          </w:rPr>
          <w:t>[2]</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[6]</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9">
        <w:r>
          <w:rPr>
            <w:color w:val="0000EE"/>
            <w:u w:val="single"/>
          </w:rPr>
          <w:t>[2]</w:t>
        </w:r>
      </w:hyperlink>
      <w:r>
        <w:t xml:space="preserve">, </w:t>
      </w:r>
      <w:hyperlink r:id="rId13">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[6]</w:t>
        </w:r>
      </w:hyperlink>
      <w:r>
        <w:t xml:space="preserve">- Paragraph 14: </w:t>
      </w:r>
      <w:hyperlink r:id="rId12">
        <w:r>
          <w:rPr>
            <w:color w:val="0000EE"/>
            <w:u w:val="single"/>
          </w:rPr>
          <w:t>[4]</w:t>
        </w:r>
      </w:hyperlink>
      <w:r>
        <w:t xml:space="preserve">, </w:t>
      </w:r>
      <w:hyperlink r:id="rId13">
        <w:r>
          <w:rPr>
            <w:color w:val="0000EE"/>
            <w:u w:val="single"/>
          </w:rPr>
          <w:t>[7]</w:t>
        </w:r>
      </w:hyperlink>
      <w:r>
        <w:t xml:space="preserve">- Paragraph 15: </w:t>
      </w:r>
      <w:hyperlink r:id="rId9">
        <w:r>
          <w:rPr>
            <w:color w:val="0000EE"/>
            <w:u w:val="single"/>
          </w:rPr>
          <w:t>[2]</w:t>
        </w:r>
      </w:hyperlink>
      <w:r>
        <w:t xml:space="preserve">, </w:t>
      </w:r>
      <w:hyperlink r:id="rId11">
        <w:r>
          <w:rPr>
            <w:color w:val="0000EE"/>
            <w:u w:val="single"/>
          </w:rPr>
          <w:t>[3]</w:t>
        </w:r>
      </w:hyperlink>
      <w:r>
        <w:t xml:space="preserve">- Paragraph 16: </w:t>
      </w:r>
      <w:hyperlink r:id="rId14">
        <w:r>
          <w:rPr>
            <w:color w:val="0000EE"/>
            <w:u w:val="single"/>
          </w:rPr>
          <w:t>[5]</w:t>
        </w:r>
      </w:hyperlink>
      <w:r>
        <w:t xml:space="preserve">, </w:t>
      </w:r>
      <w:hyperlink r:id="rId10">
        <w:r>
          <w:rPr>
            <w:color w:val="0000EE"/>
            <w:u w:val="single"/>
          </w:rPr>
          <w:t>[6]</w:t>
        </w:r>
      </w:hyperlink>
      <w:r>
        <w:t xml:space="preserve">- Paragraph 17: </w:t>
      </w:r>
      <w:hyperlink r:id="rId9">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https://www.heritage.org/progressivism/report/corporate-alignment-the-human-rights-campaign-legal-financial-and-reputational</w:t>
        </w:r>
      </w:hyperlink>
      <w:r>
        <w:t xml:space="preserve"> - Please view link - unable to able to access data</w:t>
      </w:r>
      <w:r/>
    </w:p>
    <w:p>
      <w:pPr>
        <w:pStyle w:val="ListNumber"/>
        <w:spacing w:line="240" w:lineRule="auto"/>
        <w:ind w:left="720"/>
      </w:pPr>
      <w:r/>
      <w:hyperlink r:id="rId9">
        <w:r>
          <w:rPr>
            <w:color w:val="0000EE"/>
            <w:u w:val="single"/>
          </w:rPr>
          <w:t>https://www.heritage.org/progressivism/report/corporate-alignment-the-human-rights-campaign-legal-financial-and-reputational</w:t>
        </w:r>
      </w:hyperlink>
      <w:r>
        <w:t xml:space="preserve"> - In 2024, Bowyer Research and The Heritage Foundation engaged over 400 publicly traded U.S. companies to assess the risks associated with aligning with the Human Rights Campaign (HRC), particularly through its Corporate Equality Index (CEI) and Pride Month marketing. The CEI's criteria have expanded to include coverage for sex-rejecting procedures for minors, mandatory identity-based training, and public endorsement of contested social positions. These requirements expose companies to legal, financial, and reputational risks, as evidenced by cases involving Bud Light, Target, and Disney. Shareholders are concerned that such alignment may divert focus from core business performance and fiduciary responsibilities.</w:t>
      </w:r>
      <w:r/>
    </w:p>
    <w:p>
      <w:pPr>
        <w:pStyle w:val="ListNumber"/>
        <w:spacing w:line="240" w:lineRule="auto"/>
        <w:ind w:left="720"/>
      </w:pPr>
      <w:r/>
      <w:hyperlink r:id="rId11">
        <w:r>
          <w:rPr>
            <w:color w:val="0000EE"/>
            <w:u w:val="single"/>
          </w:rPr>
          <w:t>https://www.heritage.org/gender/commentary/corporations-scoring-high-human-rights-campaigns-equality-index-might-be</w:t>
        </w:r>
      </w:hyperlink>
      <w:r>
        <w:t xml:space="preserve"> - An article from The Heritage Foundation discusses how corporations achieving high scores on the Human Rights Campaign's Corporate Equality Index (CEI) might be breaching their fiduciary duties. The piece highlights the tension between the CEI's scoring criteria and certain executive orders, suggesting that companies may face legal and reputational risks by aligning with the HRC's standards.</w:t>
      </w:r>
      <w:r/>
    </w:p>
    <w:p>
      <w:pPr>
        <w:pStyle w:val="ListNumber"/>
        <w:spacing w:line="240" w:lineRule="auto"/>
        <w:ind w:left="720"/>
      </w:pPr>
      <w:r/>
      <w:hyperlink r:id="rId12">
        <w:r>
          <w:rPr>
            <w:color w:val="0000EE"/>
            <w:u w:val="single"/>
          </w:rPr>
          <w:t>https://www.axios.com/2024/08/28/human-rights-campaign-lgbtq-ford-lowes-robby-starbuck</w:t>
        </w:r>
      </w:hyperlink>
      <w:r>
        <w:t xml:space="preserve"> - Axios reports on the growing anti-Diversity, Equity, and Inclusion (DEI) movement influencing corporate behaviour, exemplified by Ford Motor Company's withdrawal from the Human Rights Campaign's (HRC) Corporate Equality Index. This trend reflects increasing pressure from right-wing activists, such as Robby Starbuck, on companies to distance themselves from DEI initiatives, highlighting the complex landscape businesses navigate in balancing inclusivity with shareholder interests.</w:t>
      </w:r>
      <w:r/>
    </w:p>
    <w:p>
      <w:pPr>
        <w:pStyle w:val="ListNumber"/>
        <w:spacing w:line="240" w:lineRule="auto"/>
        <w:ind w:left="720"/>
      </w:pPr>
      <w:r/>
      <w:hyperlink r:id="rId14">
        <w:r>
          <w:rPr>
            <w:color w:val="0000EE"/>
            <w:u w:val="single"/>
          </w:rPr>
          <w:t>https://www.foxbusiness.com/markets/target-bud-light-investors-lose-billions-on-marketing-misses</w:t>
        </w:r>
      </w:hyperlink>
      <w:r>
        <w:t xml:space="preserve"> - Fox Business reports that recent controversial marketing decisions by Target and Bud Light have resulted in significant financial losses for investors, amounting to a combined $28 billion. The article discusses how these companies' involvement in contentious social issues has led to consumer boycotts and a decline in market value, underscoring the financial risks associated with activist-aligned corporate messaging.</w:t>
      </w:r>
      <w:r/>
    </w:p>
    <w:p>
      <w:pPr>
        <w:pStyle w:val="ListNumber"/>
        <w:spacing w:line="240" w:lineRule="auto"/>
        <w:ind w:left="720"/>
      </w:pPr>
      <w:r/>
      <w:hyperlink r:id="rId10">
        <w:r>
          <w:rPr>
            <w:color w:val="0000EE"/>
            <w:u w:val="single"/>
          </w:rPr>
          <w:t>https://www.hrc.org/press-releases/hrc-foundations-2023-2024-corporate-equality-index-shows-record-breaking-business-support-for-lgbtq-community</w:t>
        </w:r>
      </w:hyperlink>
      <w:r>
        <w:t xml:space="preserve"> - The Human Rights Campaign Foundation's press release highlights the 2023-2024 Corporate Equality Index, showcasing record-breaking business support for the LGBTQ+ community. The report reveals that 94% of CEI-rated businesses offer transgender-inclusive health insurance coverage, a significant increase from zero percent in the 2002 inaugural CEI, reflecting the growing commitment of companies to LGBTQ+ workplace equality.</w:t>
      </w:r>
      <w:r/>
    </w:p>
    <w:p>
      <w:pPr>
        <w:pStyle w:val="ListNumber"/>
        <w:spacing w:line="240" w:lineRule="auto"/>
        <w:ind w:left="720"/>
      </w:pPr>
      <w:r/>
      <w:hyperlink r:id="rId13">
        <w:r>
          <w:rPr>
            <w:color w:val="0000EE"/>
            <w:u w:val="single"/>
          </w:rPr>
          <w:t>https://www.hrc.org/press-releases/hrc-foundation-announces-record-participation-in-upcoming-2025-corporate-equality-index-docks-scores-of-seven-companies-in-current-ranking-following-their-pullback-from-workplace-inclusion</w:t>
        </w:r>
      </w:hyperlink>
      <w:r>
        <w:t xml:space="preserve"> - The Human Rights Campaign Foundation announces record participation in the upcoming 2025 Corporate Equality Index, noting that seven companies—Ford, Molson Coors, Tractor Supply Co., John Deere, Lowe’s, Harley-Davidson, and Brown-Forman—will face significant deductions in their current CEI scores due to their withdrawal from workplace inclusion initiatives. This reflects the Foundation's response to companies retracting their commitments to LGBTQ+ inclusivity.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itage.org/progressivism/report/corporate-alignment-the-human-rights-campaign-legal-financial-and-reputational" TargetMode="External"/><Relationship Id="rId10" Type="http://schemas.openxmlformats.org/officeDocument/2006/relationships/hyperlink" Target="https://www.hrc.org/press-releases/hrc-foundations-2023-2024-corporate-equality-index-shows-record-breaking-business-support-for-lgbtq-community" TargetMode="External"/><Relationship Id="rId11" Type="http://schemas.openxmlformats.org/officeDocument/2006/relationships/hyperlink" Target="https://www.heritage.org/gender/commentary/corporations-scoring-high-human-rights-campaigns-equality-index-might-be" TargetMode="External"/><Relationship Id="rId12" Type="http://schemas.openxmlformats.org/officeDocument/2006/relationships/hyperlink" Target="https://www.axios.com/2024/08/28/human-rights-campaign-lgbtq-ford-lowes-robby-starbuck" TargetMode="External"/><Relationship Id="rId13" Type="http://schemas.openxmlformats.org/officeDocument/2006/relationships/hyperlink" Target="https://www.hrc.org/press-releases/hrc-foundation-announces-record-participation-in-upcoming-2025-corporate-equality-index-docks-scores-of-seven-companies-in-current-ranking-following-their-pullback-from-workplace-inclusion" TargetMode="External"/><Relationship Id="rId14" Type="http://schemas.openxmlformats.org/officeDocument/2006/relationships/hyperlink" Target="https://www.foxbusiness.com/markets/target-bud-light-investors-lose-billions-on-marketing-miss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