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 People Are Moving States to Find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people are increasingly weighing relocation as anti-trans laws reshape daily life across the US. Surveys point to a clear pattern of movement towards more protective states, but they also reveal the limits of the data, the high cost of starting again and the many people staying behind to support their communities.</w:t>
      </w:r>
      <w:r/>
    </w:p>
    <w:p>
      <w:pPr>
        <w:pStyle w:val="Heading2"/>
      </w:pPr>
      <w:r>
        <w:t>The headline figure needs a closer look</w:t>
      </w:r>
      <w:r/>
    </w:p>
    <w:p>
      <w:r/>
      <w:r>
        <w:t>The idea of a large-scale exodus from Republican-led states has travelled widely, but the numbers aren't as straightforward as they first appear. A commonly repeated estimate suggested that 400,000 trans people had moved since the 2024 election, yet the Movement Advancement Project has said that figure wasn't contained in its report and shouldn't be treated as a firm count.</w:t>
      </w:r>
      <w:r/>
    </w:p>
    <w:p>
      <w:r/>
      <w:r>
        <w:t>Its survey found that 9% of 111 trans respondents had moved to another state because of LGBTQIA+ laws or political developments. That's an important signal, but it's far too small a sample to describe all of America's estimated 2.1 million trans adults. As the Williams Institute has also shown, survey findings can reveal urgency without providing a complete national headcount.</w:t>
      </w:r>
      <w:r/>
    </w:p>
    <w:p>
      <w:r/>
      <w:r>
        <w:t>That distinction matters. Good data should illuminate people's lives, not turn a complex safety decision into a dramatic population statistic.</w:t>
      </w:r>
      <w:r/>
    </w:p>
    <w:p>
      <w:pPr>
        <w:pStyle w:val="Heading2"/>
      </w:pPr>
      <w:r>
        <w:t>Surveys show movement, fear and unfinished plans</w:t>
      </w:r>
      <w:r/>
    </w:p>
    <w:p>
      <w:r/>
      <w:r>
        <w:t>The most consistent finding across several studies is that some trans people are leaving, while many more would like to. The Williams Institute found that 23% of surveyed trans and non-binary people had moved to a more affirming state, while 45% said they wanted to relocate.</w:t>
      </w:r>
      <w:r/>
    </w:p>
    <w:p>
      <w:r/>
      <w:r>
        <w:t>A separate national survey of trans people found that around one in 20 respondents had already moved because of discrimination or anti-trans laws. Nearly half expressed a desire to leave. The patterns point towards states including California, Massachusetts, Minnesota, New York and Washington, which are often viewed as safer destinations.</w:t>
      </w:r>
      <w:r/>
    </w:p>
    <w:p>
      <w:r/>
      <w:r>
        <w:t>Research on trans young people also links restrictive state policies with poorer wellbeing. UCLA's Williams Institute has reported that hostile laws and policies can affect mental health, access to care and feelings of safety, making the issue much bigger than a change of address.</w:t>
      </w:r>
      <w:r/>
    </w:p>
    <w:p>
      <w:pPr>
        <w:pStyle w:val="Heading2"/>
      </w:pPr>
      <w:r>
        <w:t>Moving is expensive, and safety isn't evenly distributed</w:t>
      </w:r>
      <w:r/>
    </w:p>
    <w:p>
      <w:r/>
      <w:r>
        <w:t>Relocation can sound like a clean escape route, but the practical reality is messier. Housing, deposits, transport, employment, healthcare and the loss of family or community support can make moving impossible, particularly for people on low incomes or those already facing discrimination.</w:t>
      </w:r>
      <w:r/>
    </w:p>
    <w:p>
      <w:r/>
      <w:r>
        <w:t>Housing pressure is especially significant. Axios reported that LGBTQIA+ people face serious housing challenges, while high-cost cities that attract trans newcomers may have limited shelter, healthcare and support services. A safer legal environment doesn't automatically mean an affordable or secure life.</w:t>
      </w:r>
      <w:r/>
    </w:p>
    <w:p>
      <w:r/>
      <w:r>
        <w:t>That helps explain why the most visible movers aren't necessarily representative of everyone affected. People with savings, flexible work and strong online networks may be better placed to relocate, while those who are homeless, disabled, caring for relatives or living in rural areas can be harder to reach through surveys.</w:t>
      </w:r>
      <w:r/>
    </w:p>
    <w:p>
      <w:pPr>
        <w:pStyle w:val="Heading2"/>
      </w:pPr>
      <w:r>
        <w:t>Which states are drawing new arrivals?</w:t>
      </w:r>
      <w:r/>
    </w:p>
    <w:p>
      <w:r/>
      <w:r>
        <w:t>Protective states such as Washington, Minnesota, Colorado and Illinois have presented themselves as havens for trans people facing hostile legislation. Washington, for example, has strengthened protections designed to shield people seeking care that is restricted elsewhere.</w:t>
      </w:r>
      <w:r/>
    </w:p>
    <w:p>
      <w:r/>
      <w:r>
        <w:t>But a welcoming law is only one part of the picture. Local services still need money, staff and capacity, and community groups can quickly become overwhelmed when demand rises. Reports have described sharp increases in requests for relocation assistance, putting pressure on charities and councils already dealing with stretched budgets.</w:t>
      </w:r>
      <w:r/>
    </w:p>
    <w:p>
      <w:r/>
      <w:r>
        <w:t>For people searching for the best states for trans people to move to, the checklist should go beyond legal protections. Look at housing costs, healthcare access, employment, public transport, local support groups and whether you have trusted contacts nearby. A state may look reassuring on paper, but day-to-day stability is what makes a place livable.</w:t>
      </w:r>
      <w:r/>
    </w:p>
    <w:p>
      <w:pPr>
        <w:pStyle w:val="Heading2"/>
      </w:pPr>
      <w:r>
        <w:t>Staying can be a choice, not a failure</w:t>
      </w:r>
      <w:r/>
    </w:p>
    <w:p>
      <w:r/>
      <w:r>
        <w:t>The relocation story can unintentionally suggest that everyone in a conservative state is desperate to leave. In reality, many people remain because they have deep family ties, a strong local culture or a commitment to changing their community from within.</w:t>
      </w:r>
      <w:r/>
    </w:p>
    <w:p>
      <w:r/>
      <w:r>
        <w:t>St Louis performer Maxi Glamour has described returning home after living elsewhere, drawn by the city's Black culture, queer organising, lower costs and familiar sense of place. Their experience captures a truth that statistics can miss: safety isn't always found by moving, and belonging can be a powerful form of resilience.</w:t>
      </w:r>
      <w:r/>
    </w:p>
    <w:p>
      <w:r/>
      <w:r>
        <w:t>The same research showing relocation also records activism and community participation among those who stay. People are joining campaigns, mutual-aid projects and local organisations, even as political conditions become more hostile. As one survey researcher put it, the need for better data is urgent because communities need evidence to argue for the services they require.</w:t>
      </w:r>
      <w:r/>
    </w:p>
    <w:p>
      <w:r/>
      <w:r>
        <w:t>The outlook, then, isn't simply one of flight. Some people will move, some will want to but cannot, and others will stay to build something stronger where they are. Each decision carries its own risks, costs and meaning.</w:t>
      </w:r>
      <w:r/>
    </w:p>
    <w:p>
      <w:r/>
      <w:r>
        <w:t>Safer laws matter, but so do affordable homes, reliable services and the freedom to choose where you belong.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[7]</w:t>
        </w:r>
      </w:hyperlink>
      <w:r>
        <w:t xml:space="preserve">- Paragraph 3: </w:t>
      </w:r>
      <w:hyperlink r:id="rId11">
        <w:r>
          <w:rPr>
            <w:color w:val="0000EE"/>
            <w:u w:val="single"/>
          </w:rPr>
          <w:t>[3]</w:t>
        </w:r>
      </w:hyperlink>
      <w:r>
        <w:t xml:space="preserve">, </w:t>
      </w:r>
      <w:hyperlink r:id="rId13">
        <w:r>
          <w:rPr>
            <w:color w:val="0000EE"/>
            <w:u w:val="single"/>
          </w:rPr>
          <w:t>[6]</w:t>
        </w:r>
      </w:hyperlink>
      <w:r>
        <w:t xml:space="preserve">- Paragraph 4: </w:t>
      </w:r>
      <w:hyperlink r:id="rId12">
        <w:r>
          <w:rPr>
            <w:color w:val="0000EE"/>
            <w:u w:val="single"/>
          </w:rPr>
          <w:t>[7]</w:t>
        </w:r>
      </w:hyperlink>
      <w:r>
        <w:t xml:space="preserve">, </w:t>
      </w:r>
      <w:hyperlink r:id="rId14">
        <w:r>
          <w:rPr>
            <w:color w:val="0000EE"/>
            <w:u w:val="single"/>
          </w:rPr>
          <w:t>[4]</w:t>
        </w:r>
      </w:hyperlink>
      <w:r>
        <w:t xml:space="preserve">- Paragraph 5: </w:t>
      </w:r>
      <w:hyperlink r:id="rId15">
        <w:r>
          <w:rPr>
            <w:color w:val="0000EE"/>
            <w:u w:val="single"/>
          </w:rPr>
          <w:t>[5]</w:t>
        </w:r>
      </w:hyperlink>
      <w:r>
        <w:t xml:space="preserve">, </w:t>
      </w:r>
      <w:hyperlink r:id="rId13">
        <w:r>
          <w:rPr>
            <w:color w:val="0000EE"/>
            <w:u w:val="single"/>
          </w:rPr>
          <w:t>[6]</w:t>
        </w:r>
      </w:hyperlink>
      <w:r>
        <w:t xml:space="preserve">- Paragraph 6: </w:t>
      </w:r>
      <w:hyperlink r:id="rId15">
        <w:r>
          <w:rPr>
            <w:color w:val="0000EE"/>
            <w:u w:val="single"/>
          </w:rPr>
          <w:t>[5]</w:t>
        </w:r>
      </w:hyperlink>
      <w:r>
        <w:t xml:space="preserve">, </w:t>
      </w:r>
      <w:hyperlink r:id="rId10">
        <w:r>
          <w:rPr>
            <w:color w:val="0000EE"/>
            <w:u w:val="single"/>
          </w:rPr>
          <w:t>[2]</w:t>
        </w:r>
      </w:hyperlink>
      <w:r>
        <w:t xml:space="preserve">- Paragraph 7: </w:t>
      </w:r>
      <w:hyperlink r:id="rId13">
        <w:r>
          <w:rPr>
            <w:color w:val="0000EE"/>
            <w:u w:val="single"/>
          </w:rPr>
          <w:t>[6]</w:t>
        </w:r>
      </w:hyperlink>
      <w:r>
        <w:t xml:space="preserve">, </w:t>
      </w:r>
      <w:hyperlink r:id="rId12">
        <w:r>
          <w:rPr>
            <w:color w:val="0000EE"/>
            <w:u w:val="single"/>
          </w:rPr>
          <w:t>[7]</w:t>
        </w:r>
      </w:hyperlink>
      <w:r>
        <w:t xml:space="preserve">- Paragraph 8: </w:t>
      </w:r>
      <w:hyperlink r:id="rId10">
        <w:r>
          <w:rPr>
            <w:color w:val="0000EE"/>
            <w:u w:val="single"/>
          </w:rPr>
          <w:t>[2]</w:t>
        </w:r>
      </w:hyperlink>
      <w:r>
        <w:t xml:space="preserve">, </w:t>
      </w:r>
      <w:hyperlink r:id="rId15">
        <w:r>
          <w:rPr>
            <w:color w:val="0000EE"/>
            <w:u w:val="single"/>
          </w:rPr>
          <w:t>[5]</w:t>
        </w:r>
      </w:hyperlink>
      <w:r>
        <w:t xml:space="preserve">- Paragraph 9: </w:t>
      </w:r>
      <w:hyperlink r:id="rId13">
        <w:r>
          <w:rPr>
            <w:color w:val="0000EE"/>
            <w:u w:val="single"/>
          </w:rPr>
          <w:t>[6]</w:t>
        </w:r>
      </w:hyperlink>
      <w:r>
        <w:t xml:space="preserve">, </w:t>
      </w:r>
      <w:hyperlink r:id="rId15">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[7]</w:t>
        </w:r>
      </w:hyperlink>
      <w:r>
        <w:t xml:space="preserve">- Paragraph 11: </w:t>
      </w:r>
      <w:hyperlink r:id="rId11">
        <w:r>
          <w:rPr>
            <w:color w:val="0000EE"/>
            <w:u w:val="single"/>
          </w:rPr>
          <w:t>[3]</w:t>
        </w:r>
      </w:hyperlink>
      <w:r>
        <w:t xml:space="preserve">, </w:t>
      </w:r>
      <w:hyperlink r:id="rId14">
        <w:r>
          <w:rPr>
            <w:color w:val="0000EE"/>
            <w:u w:val="single"/>
          </w:rPr>
          <w:t>[4]</w:t>
        </w:r>
      </w:hyperlink>
      <w:r>
        <w:t xml:space="preserve">- Paragraph 12: </w:t>
      </w:r>
      <w:hyperlink r:id="rId10">
        <w:r>
          <w:rPr>
            <w:color w:val="0000EE"/>
            <w:u w:val="single"/>
          </w:rPr>
          <w:t>[2]</w:t>
        </w:r>
      </w:hyperlink>
      <w:r>
        <w:t xml:space="preserve">, </w:t>
      </w:r>
      <w:hyperlink r:id="rId12">
        <w:r>
          <w:rPr>
            <w:color w:val="0000EE"/>
            <w:u w:val="single"/>
          </w:rPr>
          <w:t>[7]</w:t>
        </w:r>
      </w:hyperlink>
      <w:r>
        <w:t xml:space="preserve">- Paragraph 13: </w:t>
      </w:r>
      <w:hyperlink r:id="rId15">
        <w:r>
          <w:rPr>
            <w:color w:val="0000EE"/>
            <w:u w:val="single"/>
          </w:rPr>
          <w:t>[5]</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4">
        <w:r>
          <w:rPr>
            <w:color w:val="0000EE"/>
            <w:u w:val="single"/>
          </w:rPr>
          <w:t>[4]</w:t>
        </w:r>
      </w:hyperlink>
      <w:r>
        <w:t xml:space="preserve">, </w:t>
      </w:r>
      <w:hyperlink r:id="rId12">
        <w:r>
          <w:rPr>
            <w:color w:val="0000EE"/>
            <w:u w:val="single"/>
          </w:rPr>
          <w:t>[7]</w:t>
        </w:r>
      </w:hyperlink>
      <w:r>
        <w:t xml:space="preserve">- Paragraph 16: </w:t>
      </w:r>
      <w:hyperlink r:id="rId10">
        <w:r>
          <w:rPr>
            <w:color w:val="0000EE"/>
            <w:u w:val="single"/>
          </w:rPr>
          <w:t>[2]</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https://prismreports.org/2026/10/19/anti-trans-laws-moving-out-of-state/</w:t>
        </w:r>
      </w:hyperlink>
      <w:r>
        <w:t xml:space="preserve"> - Please view link - unable to able to access data</w:t>
      </w:r>
      <w:r/>
    </w:p>
    <w:p>
      <w:pPr>
        <w:pStyle w:val="ListNumber"/>
        <w:spacing w:line="240" w:lineRule="auto"/>
        <w:ind w:left="720"/>
      </w:pPr>
      <w:r/>
      <w:hyperlink r:id="rId10">
        <w:r>
          <w:rPr>
            <w:color w:val="0000EE"/>
            <w:u w:val="single"/>
          </w:rPr>
          <w:t>https://williamsinstitute.law.ucla.edu/press/trans-moving-press-release/</w:t>
        </w:r>
      </w:hyperlink>
      <w:r>
        <w:t xml:space="preserve"> - A study by the Williams Institute at UCLA School of Law found that 48% of surveyed transgender adults have either already relocated or are considering moving to a more trans-affirming location. The primary reasons cited include concerns about the sociopolitical climate, anti-transgender environment in their state, and restrictive state laws and policies. Additionally, 45% of respondents expressed a desire to move out of the country. Economic and practical barriers, such as the cost of relocating and housing issues, were significant challenges for those considering relocation.</w:t>
      </w:r>
      <w:r/>
    </w:p>
    <w:p>
      <w:pPr>
        <w:pStyle w:val="ListNumber"/>
        <w:spacing w:line="240" w:lineRule="auto"/>
        <w:ind w:left="720"/>
      </w:pPr>
      <w:r/>
      <w:hyperlink r:id="rId11">
        <w:r>
          <w:rPr>
            <w:color w:val="0000EE"/>
            <w:u w:val="single"/>
          </w:rPr>
          <w:t>https://www.techtarget.com/pharmalifesciences/news/366608012/47-of-Trans-Individuals-Considered-Moving-Due-to-State-Laws</w:t>
        </w:r>
      </w:hyperlink>
      <w:r>
        <w:t xml:space="preserve"> - An early insights report from a 2022 U.S. Trans Survey by the National Center for Transgender Equality revealed that 47% of transgender individuals considered moving due to restrictive state laws, including bans on access to bathrooms, healthcare, or sports. Additionally, an estimated 5% had already moved out of state. This data highlights the significant impact of state legislation on the mobility and well-being of transgender individuals.</w:t>
      </w:r>
      <w:r/>
    </w:p>
    <w:p>
      <w:pPr>
        <w:pStyle w:val="ListNumber"/>
        <w:spacing w:line="240" w:lineRule="auto"/>
        <w:ind w:left="720"/>
      </w:pPr>
      <w:r/>
      <w:hyperlink r:id="rId14">
        <w:r>
          <w:rPr>
            <w:color w:val="0000EE"/>
            <w:u w:val="single"/>
          </w:rPr>
          <w:t>https://www.axios.com/2025/06/02/anti-lgbtq-incidents-glaad-data-transgender</w:t>
        </w:r>
      </w:hyperlink>
      <w:r>
        <w:t xml:space="preserve"> - A report by GLAAD revealed that transgender and gender-nonconforming individuals were the primary targets in over half of the more than 930 anti-LGBTQ+ incidents recorded between May 2024 and April 2025 across 49 U.S. states and Washington, D.C. The most common forms of these incidents included protests and rallies, as well as verbal threats, physical assaults, and vandalism. The report also shows a 57% increase in incidents involving state and local governments.</w:t>
      </w:r>
      <w:r/>
    </w:p>
    <w:p>
      <w:pPr>
        <w:pStyle w:val="ListNumber"/>
        <w:spacing w:line="240" w:lineRule="auto"/>
        <w:ind w:left="720"/>
      </w:pPr>
      <w:r/>
      <w:hyperlink r:id="rId15">
        <w:r>
          <w:rPr>
            <w:color w:val="0000EE"/>
            <w:u w:val="single"/>
          </w:rPr>
          <w:t>https://www.axios.com/2026/06/20/lgbtq-americans-housing</w:t>
        </w:r>
      </w:hyperlink>
      <w:r>
        <w:t xml:space="preserve"> - A growing number of LGBTQ Americans are choosing to stay in or move to affordable and economically promising red-state metros, rather than migrating exclusively to historically progressive urban centers. While conservative-led legislatures have proposed over 500 anti-LGBTQ bills in 2026, raising safety concerns—especially for transgender individuals—economic factors like job opportunities and housing affordability continue to influence relocation decisions. For instance, in 2024, the annual income needed to afford a median-priced home in states with LGBTQ protections averaged $150,364, pricing many out of culturally safer blue-state cities like San Francisco and Boston.</w:t>
      </w:r>
      <w:r/>
    </w:p>
    <w:p>
      <w:pPr>
        <w:pStyle w:val="ListNumber"/>
        <w:spacing w:line="240" w:lineRule="auto"/>
        <w:ind w:left="720"/>
      </w:pPr>
      <w:r/>
      <w:hyperlink r:id="rId13">
        <w:r>
          <w:rPr>
            <w:color w:val="0000EE"/>
            <w:u w:val="single"/>
          </w:rPr>
          <w:t>https://www.intomore.com/impact/advocacy/these-are-the-states-trans-folk-are-fleeing-to-escape-anti-trans-legislation/</w:t>
        </w:r>
      </w:hyperlink>
      <w:r>
        <w:t xml:space="preserve"> - A new study reveals that an alarming number of trans people in the US are relocating out of their home states, or considering doing so, to escape anti-trans legislation. The latest U.S. Trans Survey, which surveyed 92,000 trans folks, was conducted by the National Center for Transgender Equality (NCTE). Five percent of trans people said they had moved state because of restrictive legislation in their home states. Forty-seven percent of the trans people surveyed (including those identifying as non-binary) said they had considered relocating for the same reason.</w:t>
      </w:r>
      <w:r/>
    </w:p>
    <w:p>
      <w:pPr>
        <w:pStyle w:val="ListNumber"/>
        <w:spacing w:line="240" w:lineRule="auto"/>
        <w:ind w:left="720"/>
      </w:pPr>
      <w:r/>
      <w:hyperlink r:id="rId12">
        <w:r>
          <w:rPr>
            <w:color w:val="0000EE"/>
            <w:u w:val="single"/>
          </w:rPr>
          <w:t>https://newsroom.ucla.edu/releases/transgender-youth-states-with-restrictive-laws-policies</w:t>
        </w:r>
      </w:hyperlink>
      <w:r>
        <w:t xml:space="preserve"> - A report published by the Williams Institute at UCLA School of Law shows that 53% of transgender youth between the ages of 13 and 17 in the U.S.—approximately 382,800 young people—live in 29 states with laws or policies that restrict their access to gender-affirming care, sports, bathrooms and facilities, or restrict the use of gender-affirming pronouns in schools. In 2025 alone, 24 states enacted or expanded at least one type of restrictive legislation.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ismreports.org/2026/10/19/anti-trans-laws-moving-out-of-state/" TargetMode="External"/><Relationship Id="rId10" Type="http://schemas.openxmlformats.org/officeDocument/2006/relationships/hyperlink" Target="https://williamsinstitute.law.ucla.edu/press/trans-moving-press-release/" TargetMode="External"/><Relationship Id="rId11" Type="http://schemas.openxmlformats.org/officeDocument/2006/relationships/hyperlink" Target="https://www.techtarget.com/pharmalifesciences/news/366608012/47-of-Trans-Individuals-Considered-Moving-Due-to-State-Laws" TargetMode="External"/><Relationship Id="rId12" Type="http://schemas.openxmlformats.org/officeDocument/2006/relationships/hyperlink" Target="https://newsroom.ucla.edu/releases/transgender-youth-states-with-restrictive-laws-policies" TargetMode="External"/><Relationship Id="rId13" Type="http://schemas.openxmlformats.org/officeDocument/2006/relationships/hyperlink" Target="https://www.intomore.com/impact/advocacy/these-are-the-states-trans-folk-are-fleeing-to-escape-anti-trans-legislation/" TargetMode="External"/><Relationship Id="rId14" Type="http://schemas.openxmlformats.org/officeDocument/2006/relationships/hyperlink" Target="https://www.axios.com/2025/06/02/anti-lgbtq-incidents-glaad-data-transgender" TargetMode="External"/><Relationship Id="rId15" Type="http://schemas.openxmlformats.org/officeDocument/2006/relationships/hyperlink" Target="https://www.axios.com/2026/06/20/lgbtq-americans-hous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