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to Talk About Open Relationships and Sexual Anxiety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People weighing marriage, menopause or changing sexual roles are finding that honest conversations matter more than tidy labels. Advice columns and relationship experts increasingly stress the same point: discuss expectations early, test arrangements carefully and take pressure out of intimacy before it takes over.</w:t>
      </w:r>
      <w:r/>
    </w:p>
    <w:p>
      <w:pPr>
        <w:pStyle w:val="Heading2"/>
      </w:pPr>
      <w:r>
        <w:t>Essential Takeaways</w:t>
      </w:r>
      <w:r/>
      <w:r/>
    </w:p>
    <w:p>
      <w:pPr>
        <w:pStyle w:val="ListBullet"/>
        <w:spacing w:line="240" w:lineRule="auto"/>
        <w:ind w:left="720"/>
      </w:pPr>
      <w:r/>
      <w:r>
        <w:rPr>
          <w:b/>
        </w:rPr>
        <w:t>Talk before committing:</w:t>
      </w:r>
      <w:r>
        <w:t xml:space="preserve"> Marriage won't solve a fundamental disagreement about monogamy.</w:t>
      </w:r>
      <w:r/>
    </w:p>
    <w:p>
      <w:pPr>
        <w:pStyle w:val="ListBullet"/>
        <w:spacing w:line="240" w:lineRule="auto"/>
        <w:ind w:left="720"/>
      </w:pPr>
      <w:r/>
      <w:r>
        <w:rPr>
          <w:b/>
        </w:rPr>
        <w:t>Set clear boundaries:</w:t>
      </w:r>
      <w:r>
        <w:t xml:space="preserve"> Agree what’s allowed, what must be disclosed and how safer sex will work.</w:t>
      </w:r>
      <w:r/>
    </w:p>
    <w:p>
      <w:pPr>
        <w:pStyle w:val="ListBullet"/>
        <w:spacing w:line="240" w:lineRule="auto"/>
        <w:ind w:left="720"/>
      </w:pPr>
      <w:r/>
      <w:r>
        <w:rPr>
          <w:b/>
        </w:rPr>
        <w:t>Take pressure off sex:</w:t>
      </w:r>
      <w:r>
        <w:t xml:space="preserve"> Affection, communication and low-stakes intimacy can rebuild confidence.</w:t>
      </w:r>
      <w:r/>
    </w:p>
    <w:p>
      <w:pPr>
        <w:pStyle w:val="ListBullet"/>
        <w:spacing w:line="240" w:lineRule="auto"/>
        <w:ind w:left="720"/>
      </w:pPr>
      <w:r/>
      <w:r>
        <w:rPr>
          <w:b/>
        </w:rPr>
        <w:t>Labels aren't destiny:</w:t>
      </w:r>
      <w:r>
        <w:t xml:space="preserve"> “Top”, “bottom” and similar roles shouldn't become performance tests.</w:t>
      </w:r>
      <w:r/>
    </w:p>
    <w:p>
      <w:pPr>
        <w:pStyle w:val="ListBullet"/>
        <w:spacing w:line="240" w:lineRule="auto"/>
        <w:ind w:left="720"/>
      </w:pPr>
      <w:r/>
      <w:r>
        <w:rPr>
          <w:b/>
        </w:rPr>
        <w:t>Seek medical advice:</w:t>
      </w:r>
      <w:r>
        <w:t xml:space="preserve"> Hormonal changes or persistent erectile difficulties deserve proper clinical support.</w:t>
      </w:r>
      <w:r/>
      <w:r/>
    </w:p>
    <w:p>
      <w:pPr>
        <w:pStyle w:val="Heading2"/>
      </w:pPr>
      <w:r>
        <w:t>Marriage needs clarity, not hopeful thinking</w:t>
      </w:r>
      <w:r/>
    </w:p>
    <w:p>
      <w:r/>
      <w:r>
        <w:t>The sharpest lesson in this advice is also the simplest: believe your partner when they explain what they need. If one person wants an open marriage and the other quietly hopes that desire will disappear, the wedding isn't a compromise. It's a postponement.</w:t>
      </w:r>
      <w:r/>
    </w:p>
    <w:p>
      <w:r/>
      <w:r>
        <w:t xml:space="preserve">That doesn't mean non-monogamy is doomed. Open relationships can work when both people genuinely consent, understand the arrangement and feel able to revisit it. Guidance on open relationships commonly recommends discussing boundaries, safer sex, privacy, emotional involvement and what happens if either partner becomes uncomfortable. Those details may sound unromantic, but they’re considerably less painful than discovering them during a crisis. According to Simply Psychology, clear agreements and regular check-ins are central to making consensual non-monogamy workable. </w:t>
      </w:r>
      <w:hyperlink r:id="rId9">
        <w:r>
          <w:rPr>
            <w:color w:val="0000EE"/>
            <w:u w:val="single"/>
          </w:rPr>
          <w:t>[2]</w:t>
        </w:r>
      </w:hyperlink>
      <w:r/>
    </w:p>
    <w:p>
      <w:r/>
      <w:r>
        <w:t xml:space="preserve">It’s also reasonable to recognise that readiness can change. A new baby, exhaustion or the intense adjustment of early parenthood can make any major decision feel heavier. Before marrying, couples should ask whether they’re choosing the relationship as it exists, rather than the version they hope it will become. Advice on opening a marriage similarly stresses mutual willingness, rather than one partner accepting the arrangement under pressure. </w:t>
      </w:r>
      <w:hyperlink r:id="rId10">
        <w:r>
          <w:rPr>
            <w:color w:val="0000EE"/>
            <w:u w:val="single"/>
          </w:rPr>
          <w:t>[5]</w:t>
        </w:r>
      </w:hyperlink>
      <w:r/>
    </w:p>
    <w:p>
      <w:pPr>
        <w:pStyle w:val="Heading2"/>
      </w:pPr>
      <w:r>
        <w:t>Try the conversation before the ceremony</w:t>
      </w:r>
      <w:r/>
    </w:p>
    <w:p>
      <w:r/>
      <w:r>
        <w:t>A practical approach is to slow the timetable down and discuss the proposed relationship structure in ordinary language. What does “occasionally” mean? Are dates involved, or only sex? Is advance notice required? Are mutual friends off-limits? What safer-sex measures are expected, and how often will testing happen?</w:t>
      </w:r>
      <w:r/>
    </w:p>
    <w:p>
      <w:r/>
      <w:r>
        <w:t xml:space="preserve">There’s no universal rulebook, because the right arrangement depends on the people involved. Some couples want detailed disclosure, while others prefer only health-related information. The important thing is that nobody is forced to guess. Relationship guidance from Marie Claire and Woman&amp;Home highlights the importance of consent that remains active, informed and reversible, rather than a one-off agreement made during an emotional conversation. </w:t>
      </w:r>
      <w:hyperlink r:id="rId11">
        <w:r>
          <w:rPr>
            <w:color w:val="0000EE"/>
            <w:u w:val="single"/>
          </w:rPr>
          <w:t>[7]</w:t>
        </w:r>
      </w:hyperlink>
      <w:r>
        <w:t xml:space="preserve"> </w:t>
      </w:r>
      <w:hyperlink r:id="rId12">
        <w:r>
          <w:rPr>
            <w:color w:val="0000EE"/>
            <w:u w:val="single"/>
          </w:rPr>
          <w:t>[6]</w:t>
        </w:r>
      </w:hyperlink>
      <w:r/>
    </w:p>
    <w:p>
      <w:r/>
      <w:r>
        <w:t>A trial period may reveal more than another round of abstract debate. But it should be a genuine experiment, not a test designed to prove that one partner is wrong. Either person should be able to say, “This doesn't work for me,” without being mocked, punished or told they’re insufficiently progressive.</w:t>
      </w:r>
      <w:r/>
    </w:p>
    <w:p>
      <w:pPr>
        <w:pStyle w:val="Heading2"/>
      </w:pPr>
      <w:r>
        <w:t>Sexual roles shouldn't become a performance exam</w:t>
      </w:r>
      <w:r/>
    </w:p>
    <w:p>
      <w:r/>
      <w:r>
        <w:t>The second theme is anxiety. When someone feels expected to perform a particular sexual role, the expectation itself can become the distraction. A body that responds easily in private may become noticeably less cooperative when a partner, a plan or a deadline enters the room. It’s frustrating, especially when the mind is willing but the mechanics are being difficult.</w:t>
      </w:r>
      <w:r/>
    </w:p>
    <w:p>
      <w:r/>
      <w:r>
        <w:t xml:space="preserve">Sexual-health resources focused on gay men often connect performance anxiety with self-monitoring, fear of disappointing a partner and pressure to match a preferred identity. GinoCosme advises reducing judgement around erections and broadening the definition of satisfying sex, rather than treating penetration as the only successful outcome. </w:t>
      </w:r>
      <w:hyperlink r:id="rId13">
        <w:r>
          <w:rPr>
            <w:color w:val="0000EE"/>
            <w:u w:val="single"/>
          </w:rPr>
          <w:t>[3]</w:t>
        </w:r>
      </w:hyperlink>
      <w:r>
        <w:t xml:space="preserve"> Another guide on gay sexual performance anxiety recommends open communication, slower pacing and professional help when the problem persists. </w:t>
      </w:r>
      <w:hyperlink r:id="rId14">
        <w:r>
          <w:rPr>
            <w:color w:val="0000EE"/>
            <w:u w:val="single"/>
          </w:rPr>
          <w:t>[4]</w:t>
        </w:r>
      </w:hyperlink>
      <w:r/>
    </w:p>
    <w:p>
      <w:r/>
      <w:r>
        <w:t>That can mean temporarily taking the most pressured activity off the agenda. A couple might focus on kissing, touch, oral sex or mutual pleasure without deciding in advance how the encounter must end. Ironically, removing the target can make arousal feel less like a job interview.</w:t>
      </w:r>
      <w:r/>
    </w:p>
    <w:p>
      <w:pPr>
        <w:pStyle w:val="Heading2"/>
      </w:pPr>
      <w:r>
        <w:t>Menopause and hormones deserve proper support</w:t>
      </w:r>
      <w:r/>
    </w:p>
    <w:p>
      <w:r/>
      <w:r>
        <w:t>Hormonal changes add another layer. Menopause can affect desire, comfort, sleep, mood and vaginal tissue, while a partner’s treatment for low testosterone may change energy or libido. That doesn't mean hormone therapy will automatically restart a couple’s sex life. Bodies are more complicated than a light switch, and relationship patterns often need attention too.</w:t>
      </w:r>
      <w:r/>
    </w:p>
    <w:p>
      <w:r/>
      <w:r>
        <w:t>A GP, menopause specialist or sexual-health clinician can discuss symptoms and suitable treatments, including options for discomfort or reduced desire. It’s worth approaching this as a shared health question rather than assigning blame. Meanwhile, small forms of closeness can help couples reconnect: cuddling on the sofa, kissing without an expectation of sex, or simply talking about what now feels pleasurable and what doesn't.</w:t>
      </w:r>
      <w:r/>
    </w:p>
    <w:p>
      <w:r/>
      <w:r>
        <w:t>The same principle applies across all these situations. Medication may address part of the picture, but it can't negotiate boundaries, repair resentment or create emotional safety. Those jobs belong to the people in the relationship.</w:t>
      </w:r>
      <w:r/>
    </w:p>
    <w:p>
      <w:pPr>
        <w:pStyle w:val="Heading2"/>
      </w:pPr>
      <w:r>
        <w:t>Let flexibility make sex easier</w:t>
      </w:r>
      <w:r/>
    </w:p>
    <w:p>
      <w:r/>
      <w:r>
        <w:t>Sexual identities and preferences can be useful shorthand, but they aren't contracts. Someone may prefer topping, bottoming, both or neither, and those preferences can shift with context and partners. Treating a label as proof that the body must always behave in one way can make an already sensitive situation worse.</w:t>
      </w:r>
      <w:r/>
    </w:p>
    <w:p>
      <w:r/>
      <w:r>
        <w:t>A more forgiving approach is to notice what works without turning it into a verdict. If a particular activity feels enjoyable and relaxed, that matters. If another repeatedly brings dread or frustration, it can be paused while the couple explores alternatives. Persistent erection problems should still be discussed with a clinician, particularly if medication, circulation, stress or another health issue could be involved.</w:t>
      </w:r>
      <w:r/>
    </w:p>
    <w:p>
      <w:r/>
      <w:r>
        <w:t>Ultimately, good sex is less about passing a role-based test than staying curious together. People often feel more confident when they know they can stop, change direction or laugh without the whole encounter being labelled a failure.</w:t>
      </w:r>
      <w:r/>
    </w:p>
    <w:p>
      <w:r/>
      <w:r>
        <w:t>A clear conversation now can prevent a much harder one later.</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9">
        <w:r>
          <w:rPr>
            <w:color w:val="0000EE"/>
            <w:u w:val="single"/>
          </w:rPr>
          <w:t>[2]</w:t>
        </w:r>
      </w:hyperlink>
      <w:r>
        <w:t xml:space="preserve">, </w:t>
      </w:r>
      <w:hyperlink r:id="rId12">
        <w:r>
          <w:rPr>
            <w:color w:val="0000EE"/>
            <w:u w:val="single"/>
          </w:rPr>
          <w:t>[6]</w:t>
        </w:r>
      </w:hyperlink>
      <w:r>
        <w:t xml:space="preserve">- Paragraph 3: </w:t>
      </w:r>
      <w:hyperlink r:id="rId10">
        <w:r>
          <w:rPr>
            <w:color w:val="0000EE"/>
            <w:u w:val="single"/>
          </w:rPr>
          <w:t>[5]</w:t>
        </w:r>
      </w:hyperlink>
      <w:r>
        <w:t xml:space="preserve">, </w:t>
      </w:r>
      <w:hyperlink r:id="rId11">
        <w:r>
          <w:rPr>
            <w:color w:val="0000EE"/>
            <w:u w:val="single"/>
          </w:rPr>
          <w:t>[7]</w:t>
        </w:r>
      </w:hyperlink>
      <w:r>
        <w:t xml:space="preserve">- Paragraph 4: </w:t>
      </w:r>
      <w:hyperlink r:id="rId12">
        <w:r>
          <w:rPr>
            <w:color w:val="0000EE"/>
            <w:u w:val="single"/>
          </w:rPr>
          <w:t>[6]</w:t>
        </w:r>
      </w:hyperlink>
      <w:r>
        <w:t xml:space="preserve">, </w:t>
      </w:r>
      <w:hyperlink r:id="rId11">
        <w:r>
          <w:rPr>
            <w:color w:val="0000EE"/>
            <w:u w:val="single"/>
          </w:rPr>
          <w:t>[7]</w:t>
        </w:r>
      </w:hyperlink>
      <w:r>
        <w:t xml:space="preserve">- Paragraph 5: </w:t>
      </w:r>
      <w:hyperlink r:id="rId13">
        <w:r>
          <w:rPr>
            <w:color w:val="0000EE"/>
            <w:u w:val="single"/>
          </w:rPr>
          <w:t>[3]</w:t>
        </w:r>
      </w:hyperlink>
      <w:r>
        <w:t xml:space="preserve">, </w:t>
      </w:r>
      <w:hyperlink r:id="rId14">
        <w:r>
          <w:rPr>
            <w:color w:val="0000EE"/>
            <w:u w:val="single"/>
          </w:rPr>
          <w:t>[4]</w:t>
        </w:r>
      </w:hyperlink>
      <w:r>
        <w:t xml:space="preserve">- Paragraph 6: </w:t>
      </w:r>
      <w:hyperlink r:id="rId13">
        <w:r>
          <w:rPr>
            <w:color w:val="0000EE"/>
            <w:u w:val="single"/>
          </w:rPr>
          <w:t>[3]</w:t>
        </w:r>
      </w:hyperlink>
      <w:r>
        <w:t xml:space="preserve">, </w:t>
      </w:r>
      <w:hyperlink r:id="rId14">
        <w:r>
          <w:rPr>
            <w:color w:val="0000EE"/>
            <w:u w:val="single"/>
          </w:rPr>
          <w:t>[4]</w:t>
        </w:r>
      </w:hyperlink>
      <w:r>
        <w:t xml:space="preserve">- Paragraph 7: </w:t>
      </w:r>
      <w:hyperlink r:id="rId13">
        <w:r>
          <w:rPr>
            <w:color w:val="0000EE"/>
            <w:u w:val="single"/>
          </w:rPr>
          <w:t>[3]</w:t>
        </w:r>
      </w:hyperlink>
      <w:r>
        <w:t xml:space="preserve">, </w:t>
      </w:r>
      <w:hyperlink r:id="rId14">
        <w:r>
          <w:rPr>
            <w:color w:val="0000EE"/>
            <w:u w:val="single"/>
          </w:rPr>
          <w:t>[4]</w:t>
        </w:r>
      </w:hyperlink>
      <w:r>
        <w:t xml:space="preserve">- Paragraph 8: </w:t>
      </w:r>
      <w:hyperlink r:id="rId13">
        <w:r>
          <w:rPr>
            <w:color w:val="0000EE"/>
            <w:u w:val="single"/>
          </w:rPr>
          <w:t>[3]</w:t>
        </w:r>
      </w:hyperlink>
      <w:r>
        <w:t xml:space="preserve">, </w:t>
      </w:r>
      <w:hyperlink r:id="rId14">
        <w:r>
          <w:rPr>
            <w:color w:val="0000EE"/>
            <w:u w:val="single"/>
          </w:rPr>
          <w:t>[4]</w:t>
        </w:r>
      </w:hyperlink>
      <w:r>
        <w:t xml:space="preserve">- Paragraph 9: </w:t>
      </w:r>
      <w:hyperlink r:id="rId10">
        <w:r>
          <w:rPr>
            <w:color w:val="0000EE"/>
            <w:u w:val="single"/>
          </w:rPr>
          <w:t>[5]</w:t>
        </w:r>
      </w:hyperlink>
      <w:r>
        <w:t xml:space="preserve">, </w:t>
      </w:r>
      <w:hyperlink r:id="rId12">
        <w:r>
          <w:rPr>
            <w:color w:val="0000EE"/>
            <w:u w:val="single"/>
          </w:rPr>
          <w:t>[6]</w:t>
        </w:r>
      </w:hyperlink>
      <w:r>
        <w:t xml:space="preserve">- Paragraph 10: </w:t>
      </w:r>
      <w:hyperlink r:id="rId10">
        <w:r>
          <w:rPr>
            <w:color w:val="0000EE"/>
            <w:u w:val="single"/>
          </w:rPr>
          <w:t>[5]</w:t>
        </w:r>
      </w:hyperlink>
      <w:r>
        <w:t xml:space="preserve">, </w:t>
      </w:r>
      <w:hyperlink r:id="rId12">
        <w:r>
          <w:rPr>
            <w:color w:val="0000EE"/>
            <w:u w:val="single"/>
          </w:rPr>
          <w:t>[6]</w:t>
        </w:r>
      </w:hyperlink>
      <w:r>
        <w:t xml:space="preserve">- Paragraph 11: </w:t>
      </w:r>
      <w:hyperlink r:id="rId13">
        <w:r>
          <w:rPr>
            <w:color w:val="0000EE"/>
            <w:u w:val="single"/>
          </w:rPr>
          <w:t>[3]</w:t>
        </w:r>
      </w:hyperlink>
      <w:r>
        <w:t xml:space="preserve">, </w:t>
      </w:r>
      <w:hyperlink r:id="rId14">
        <w:r>
          <w:rPr>
            <w:color w:val="0000EE"/>
            <w:u w:val="single"/>
          </w:rPr>
          <w:t>[4]</w:t>
        </w:r>
      </w:hyperlink>
      <w:r>
        <w:t xml:space="preserve">- Paragraph 12: </w:t>
      </w:r>
      <w:hyperlink r:id="rId13">
        <w:r>
          <w:rPr>
            <w:color w:val="0000EE"/>
            <w:u w:val="single"/>
          </w:rPr>
          <w:t>[3]</w:t>
        </w:r>
      </w:hyperlink>
      <w:r>
        <w:t xml:space="preserve">, </w:t>
      </w:r>
      <w:hyperlink r:id="rId14">
        <w:r>
          <w:rPr>
            <w:color w:val="0000EE"/>
            <w:u w:val="single"/>
          </w:rPr>
          <w:t>[4]</w:t>
        </w:r>
      </w:hyperlink>
      <w:r>
        <w:t xml:space="preserve">- Paragraph 13: </w:t>
      </w:r>
      <w:hyperlink r:id="rId13">
        <w:r>
          <w:rPr>
            <w:color w:val="0000EE"/>
            <w:u w:val="single"/>
          </w:rPr>
          <w:t>[3]</w:t>
        </w:r>
      </w:hyperlink>
      <w:r>
        <w:t xml:space="preserve">, </w:t>
      </w:r>
      <w:hyperlink r:id="rId14">
        <w:r>
          <w:rPr>
            <w:color w:val="0000EE"/>
            <w:u w:val="single"/>
          </w:rPr>
          <w:t>[4]</w:t>
        </w:r>
      </w:hyperlink>
      <w:r>
        <w:t xml:space="preserve">- Paragraph 14: </w:t>
      </w:r>
      <w:hyperlink r:id="rId9">
        <w:r>
          <w:rPr>
            <w:color w:val="0000EE"/>
            <w:u w:val="single"/>
          </w:rPr>
          <w:t>[2]</w:t>
        </w:r>
      </w:hyperlink>
      <w:r>
        <w:t xml:space="preserve">, </w:t>
      </w:r>
      <w:hyperlink r:id="rId11">
        <w:r>
          <w:rPr>
            <w:color w:val="0000EE"/>
            <w:u w:val="single"/>
          </w:rPr>
          <w:t>[7]</w:t>
        </w:r>
      </w:hyperlink>
      <w:r>
        <w:t xml:space="preserve">- Paragraph 15: </w:t>
      </w:r>
      <w:hyperlink r:id="rId13">
        <w:r>
          <w:rPr>
            <w:color w:val="0000EE"/>
            <w:u w:val="single"/>
          </w:rPr>
          <w:t>[3]</w:t>
        </w:r>
      </w:hyperlink>
      <w:r>
        <w:t xml:space="preserve">, </w:t>
      </w:r>
      <w:hyperlink r:id="rId14">
        <w:r>
          <w:rPr>
            <w:color w:val="0000EE"/>
            <w:u w:val="single"/>
          </w:rPr>
          <w:t>[4]</w:t>
        </w:r>
      </w:hyperlink>
      <w:r>
        <w:t xml:space="preserve">- Paragraph 16: </w:t>
      </w:r>
      <w:hyperlink r:id="rId9">
        <w:r>
          <w:rPr>
            <w:color w:val="0000EE"/>
            <w:u w:val="single"/>
          </w:rPr>
          <w:t>[2]</w:t>
        </w:r>
      </w:hyperlink>
      <w:r>
        <w:t xml:space="preserve">, </w:t>
      </w:r>
      <w:hyperlink r:id="rId12">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https://slate.com/advice/2026/10/man-sex-boyfriend-bisexual-advice-father-marriage.html?via=rss</w:t>
        </w:r>
      </w:hyperlink>
      <w:r>
        <w:t xml:space="preserve"> - Please view link - unable to able to access data</w:t>
      </w:r>
      <w:r/>
    </w:p>
    <w:p>
      <w:pPr>
        <w:pStyle w:val="ListNumber"/>
        <w:spacing w:line="240" w:lineRule="auto"/>
        <w:ind w:left="720"/>
      </w:pPr>
      <w:r/>
      <w:hyperlink r:id="rId9">
        <w:r>
          <w:rPr>
            <w:color w:val="0000EE"/>
            <w:u w:val="single"/>
          </w:rPr>
          <w:t>https://www.simplypsychology.org/open-relationship-rules.html</w:t>
        </w:r>
      </w:hyperlink>
      <w:r>
        <w:t xml:space="preserve"> - This article explores the dynamics of open relationships, emphasizing the importance of consent, clear communication, and setting boundaries. It highlights that honesty is crucial, with all parties aware and agreeing to the arrangement. The piece also discusses the necessity of ongoing dialogue to navigate feelings of jealousy and the potential need for renegotiating rules as relationships evolve. Additionally, it notes that large studies comparing monogamous and consensually non-monogamous couples find broadly similar relationship quality and well-being.</w:t>
      </w:r>
      <w:r/>
    </w:p>
    <w:p>
      <w:pPr>
        <w:pStyle w:val="ListNumber"/>
        <w:spacing w:line="240" w:lineRule="auto"/>
        <w:ind w:left="720"/>
      </w:pPr>
      <w:r/>
      <w:hyperlink r:id="rId13">
        <w:r>
          <w:rPr>
            <w:color w:val="0000EE"/>
            <w:u w:val="single"/>
          </w:rPr>
          <w:t>https://www.ginocosme.com/gay-sex-anxiety</w:t>
        </w:r>
      </w:hyperlink>
      <w:r>
        <w:t xml:space="preserve"> - Gino Cosme's article delves into the unique performance anxieties experienced by gay men, attributing them to factors like exposure, judgment, and the persistent fear of inadequacy. It discusses how these anxieties often stem from societal pressures and internalized homophobia, leading to challenges such as difficulty achieving or maintaining erections and avoidance of intimacy. The piece emphasizes the importance of addressing these underlying issues to foster healthier sexual experiences and self-acceptance.</w:t>
      </w:r>
      <w:r/>
    </w:p>
    <w:p>
      <w:pPr>
        <w:pStyle w:val="ListNumber"/>
        <w:spacing w:line="240" w:lineRule="auto"/>
        <w:ind w:left="720"/>
      </w:pPr>
      <w:r/>
      <w:hyperlink r:id="rId14">
        <w:r>
          <w:rPr>
            <w:color w:val="0000EE"/>
            <w:u w:val="single"/>
          </w:rPr>
          <w:t>https://gaysnear.com/blog/managing-performance-anxiety-in-gay-sex/</w:t>
        </w:r>
      </w:hyperlink>
      <w:r>
        <w:t xml:space="preserve"> - This article provides strategies for gay men to manage performance anxiety, focusing on reframing the concept of 'good sex' and reducing pressure. It acknowledges the unique challenges faced, including societal expectations and internalized shame, and offers practical advice to shift focus from performance to connection and pleasure. The piece also highlights the importance of open communication with partners and suggests that seeking professional help, such as therapy, can be beneficial in overcoming these anxieties.</w:t>
      </w:r>
      <w:r/>
    </w:p>
    <w:p>
      <w:pPr>
        <w:pStyle w:val="ListNumber"/>
        <w:spacing w:line="240" w:lineRule="auto"/>
        <w:ind w:left="720"/>
      </w:pPr>
      <w:r/>
      <w:hyperlink r:id="rId10">
        <w:r>
          <w:rPr>
            <w:color w:val="0000EE"/>
            <w:u w:val="single"/>
          </w:rPr>
          <w:t>https://www.romper.com/life/how-to-open-your-marriage</w:t>
        </w:r>
      </w:hyperlink>
      <w:r>
        <w:t xml:space="preserve"> - Rebecca Woolf's article offers guidance for couples considering opening their marriage, emphasizing the need for careful consideration and open communication. It suggests starting with discussions about desires and boundaries, and gradually incorporating these into the couple's sexual experiences. The piece also highlights that opening a marriage is not solely about sex but can be about seeking more life experiences together, underscoring the importance of mutual respect and understanding in navigating this transition.</w:t>
      </w:r>
      <w:r/>
    </w:p>
    <w:p>
      <w:pPr>
        <w:pStyle w:val="ListNumber"/>
        <w:spacing w:line="240" w:lineRule="auto"/>
        <w:ind w:left="720"/>
      </w:pPr>
      <w:r/>
      <w:hyperlink r:id="rId12">
        <w:r>
          <w:rPr>
            <w:color w:val="0000EE"/>
            <w:u w:val="single"/>
          </w:rPr>
          <w:t>https://www.womanandhome.com/life/news-entertainment/polyamory-open-relationship/</w:t>
        </w:r>
      </w:hyperlink>
      <w:r>
        <w:t xml:space="preserve"> - Molly Roden Winter shares her personal journey with polyamory, discussing how it transformed her understanding of love and relationships. Initially setting strict boundaries to prevent emotional entanglements, she describes how these rules evolved into a mutual support system with her husband. Despite having multiple romantic or sexual relationships, she emphasizes that her marriage remains central, highlighting the importance of individual choice in romantic structures and the fulfillment derived from ethical non-monogamy.</w:t>
      </w:r>
      <w:r/>
    </w:p>
    <w:p>
      <w:pPr>
        <w:pStyle w:val="ListNumber"/>
        <w:spacing w:line="240" w:lineRule="auto"/>
        <w:ind w:left="720"/>
      </w:pPr>
      <w:r/>
      <w:hyperlink r:id="rId11">
        <w:r>
          <w:rPr>
            <w:color w:val="0000EE"/>
            <w:u w:val="single"/>
          </w:rPr>
          <w:t>https://www.marieclaire.co.uk/life/relationships/the-invite-open-relationships</w:t>
        </w:r>
      </w:hyperlink>
      <w:r>
        <w:t xml:space="preserve"> - This article examines how the film 'The Invite' portrays open relationships, noting its nuanced depiction that challenges traditional media representations. It highlights that the non-monogamous couple in the film is shown as emotionally healthier than the monogamous pair, countering stereotypes of open relationships being dysfunctional. The piece includes interviews with individuals practicing ethical non-monogamy, emphasizing themes of intentional communication, self-exploration, and community, and critiques the sensationalism often associated with such relationships in popular culture.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implypsychology.org/open-relationship-rules.html" TargetMode="External"/><Relationship Id="rId10" Type="http://schemas.openxmlformats.org/officeDocument/2006/relationships/hyperlink" Target="https://www.romper.com/life/how-to-open-your-marriage" TargetMode="External"/><Relationship Id="rId11" Type="http://schemas.openxmlformats.org/officeDocument/2006/relationships/hyperlink" Target="https://www.marieclaire.co.uk/life/relationships/the-invite-open-relationships" TargetMode="External"/><Relationship Id="rId12" Type="http://schemas.openxmlformats.org/officeDocument/2006/relationships/hyperlink" Target="https://www.womanandhome.com/life/news-entertainment/polyamory-open-relationship/" TargetMode="External"/><Relationship Id="rId13" Type="http://schemas.openxmlformats.org/officeDocument/2006/relationships/hyperlink" Target="https://www.ginocosme.com/gay-sex-anxiety" TargetMode="External"/><Relationship Id="rId14" Type="http://schemas.openxmlformats.org/officeDocument/2006/relationships/hyperlink" Target="https://gaysnear.com/blog/managing-performance-anxiety-in-gay-sex/" TargetMode="External"/><Relationship Id="rId15" Type="http://schemas.openxmlformats.org/officeDocument/2006/relationships/hyperlink" Target="https://slate.com/advice/2026/10/man-sex-boyfriend-bisexual-advice-father-marriage.html?via=rs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