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books for baby gays and curious new readers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rediscovering the best queer books for baby gays, from Armistead Maupin's San Francisco stories to James Baldwin's aching classic. These novels, memoirs and self-help guides offer more than cultural history: they provide companionship, context and the reassuring sense that someone else has been here before.</w:t>
      </w:r>
      <w:r/>
    </w:p>
    <w:p>
      <w:pPr>
        <w:pStyle w:val="Heading2"/>
      </w:pPr>
      <w:r>
        <w:t>Essential Takeaways</w:t>
      </w:r>
      <w:r/>
      <w:r/>
    </w:p>
    <w:p>
      <w:pPr>
        <w:pStyle w:val="ListBullet"/>
        <w:spacing w:line="240" w:lineRule="auto"/>
        <w:ind w:left="720"/>
      </w:pPr>
      <w:r/>
      <w:r>
        <w:rPr>
          <w:b/>
        </w:rPr>
        <w:t>Start with community:</w:t>
      </w:r>
      <w:r>
        <w:t xml:space="preserve"> Armistead Maupin's </w:t>
      </w:r>
      <w:r>
        <w:rPr>
          <w:i/>
        </w:rPr>
        <w:t>Tales of the City</w:t>
      </w:r>
      <w:r>
        <w:t xml:space="preserve"> makes chosen family feel vivid, warm and gloriously messy.</w:t>
      </w:r>
      <w:r/>
    </w:p>
    <w:p>
      <w:pPr>
        <w:pStyle w:val="ListBullet"/>
        <w:spacing w:line="240" w:lineRule="auto"/>
        <w:ind w:left="720"/>
      </w:pPr>
      <w:r/>
      <w:r>
        <w:rPr>
          <w:b/>
        </w:rPr>
        <w:t>Expect emotional range:</w:t>
      </w:r>
      <w:r>
        <w:t xml:space="preserve"> The recommendations move from comic escapism to AIDS memoirs, heartbreak and hard-won hope.</w:t>
      </w:r>
      <w:r/>
    </w:p>
    <w:p>
      <w:pPr>
        <w:pStyle w:val="ListBullet"/>
        <w:spacing w:line="240" w:lineRule="auto"/>
        <w:ind w:left="720"/>
      </w:pPr>
      <w:r/>
      <w:r>
        <w:rPr>
          <w:b/>
        </w:rPr>
        <w:t>Try fiction or non-fiction:</w:t>
      </w:r>
      <w:r>
        <w:t xml:space="preserve"> </w:t>
      </w:r>
      <w:r>
        <w:rPr>
          <w:i/>
        </w:rPr>
        <w:t>The Velvet Rage</w:t>
      </w:r>
      <w:r>
        <w:t xml:space="preserve"> offers psychological reflection, while classics such as </w:t>
      </w:r>
      <w:r>
        <w:rPr>
          <w:i/>
        </w:rPr>
        <w:t>Giovanni's Room</w:t>
      </w:r>
      <w:r>
        <w:t xml:space="preserve"> explore identity through story.</w:t>
      </w:r>
      <w:r/>
    </w:p>
    <w:p>
      <w:pPr>
        <w:pStyle w:val="ListBullet"/>
        <w:spacing w:line="240" w:lineRule="auto"/>
        <w:ind w:left="720"/>
      </w:pPr>
      <w:r/>
      <w:r>
        <w:rPr>
          <w:b/>
        </w:rPr>
        <w:t>History matters:</w:t>
      </w:r>
      <w:r>
        <w:t xml:space="preserve"> Books set before or during major LGBTQ+ upheavals show both the joy and vulnerability of queer life.</w:t>
      </w:r>
      <w:r/>
    </w:p>
    <w:p>
      <w:pPr>
        <w:pStyle w:val="ListBullet"/>
        <w:spacing w:line="240" w:lineRule="auto"/>
        <w:ind w:left="720"/>
      </w:pPr>
      <w:r/>
      <w:r>
        <w:rPr>
          <w:b/>
        </w:rPr>
        <w:t>Choose the right mood:</w:t>
      </w:r>
      <w:r>
        <w:t xml:space="preserve"> There are funny, romantic and uplifting options, as well as books best approached with a quiet afternoon and tissues nearby.</w:t>
      </w:r>
      <w:r/>
      <w:r/>
    </w:p>
    <w:p>
      <w:pPr>
        <w:pStyle w:val="Heading2"/>
      </w:pPr>
      <w:r>
        <w:t>The queer reading list begins with chosen family</w:t>
      </w:r>
      <w:r/>
    </w:p>
    <w:p>
      <w:r/>
      <w:r>
        <w:t xml:space="preserve">The strongest recommendation is also one of the most inviting. Armistead Maupin's </w:t>
      </w:r>
      <w:r>
        <w:rPr>
          <w:i/>
        </w:rPr>
        <w:t>Tales of the City</w:t>
      </w:r>
      <w:r>
        <w:t xml:space="preserve"> drops readers into a lively San Francisco where friendship, flirtation and found family matter as much as romance.</w:t>
      </w:r>
      <w:r/>
    </w:p>
    <w:p>
      <w:r/>
      <w:r>
        <w:t>That appeal helps explain why it keeps returning to LGBTQ+ reading lists, including those compiled by The Advocate. The books offer a portrait of queer life that feels exuberant and social, but they don't dodge grief or the shadow of the AIDS crisis.</w:t>
      </w:r>
      <w:r/>
    </w:p>
    <w:p>
      <w:r/>
      <w:r>
        <w:t>For a new reader, it's an unusually generous starting point. The characters are imperfect, funny and occasionally chaotic, which is rather comforting when you're still working out where you fit.</w:t>
      </w:r>
      <w:r/>
    </w:p>
    <w:p>
      <w:pPr>
        <w:pStyle w:val="Heading2"/>
      </w:pPr>
      <w:r>
        <w:t>Why The Front Runner still lands decades later</w:t>
      </w:r>
      <w:r/>
    </w:p>
    <w:p>
      <w:r/>
      <w:r>
        <w:t xml:space="preserve">Patricia Nell Warren's </w:t>
      </w:r>
      <w:r>
        <w:rPr>
          <w:i/>
        </w:rPr>
        <w:t>The Front Runner</w:t>
      </w:r>
      <w:r>
        <w:t xml:space="preserve"> is another recurring choice, and its significance is larger than its sometimes melodramatic plot. The novel helped bring gay characters and relationships into mainstream commercial fiction, reaching the New York Times bestseller list in the 1970s.</w:t>
      </w:r>
      <w:r/>
    </w:p>
    <w:p>
      <w:r/>
      <w:r>
        <w:t>That milestone, documented by EBSCO, matters because representation can feel radically different when you're encountering it for the first time. One reader recalled finding the paperback as a teenager and keeping it for decades, a small object that became a private proof of possibility.</w:t>
      </w:r>
      <w:r/>
    </w:p>
    <w:p>
      <w:r/>
      <w:r>
        <w:t>It isn't necessarily the neatest or most modern introduction to queer fiction. But its emotional force, sporting world and unapologetic central relationship still give it a place in the conversation.</w:t>
      </w:r>
      <w:r/>
    </w:p>
    <w:p>
      <w:pPr>
        <w:pStyle w:val="Heading2"/>
      </w:pPr>
      <w:r>
        <w:t>The books that make queer history personal</w:t>
      </w:r>
      <w:r/>
    </w:p>
    <w:p>
      <w:r/>
      <w:r>
        <w:t xml:space="preserve">Christopher Isherwood's </w:t>
      </w:r>
      <w:r>
        <w:rPr>
          <w:i/>
        </w:rPr>
        <w:t>Goodbye to Berlin</w:t>
      </w:r>
      <w:r>
        <w:t xml:space="preserve"> takes readers to Weimar-era Germany, where nightlife and artistic freedom exist alongside an atmosphere of mounting danger. Its pleasures are vivid, but so is the knowledge that a tolerant world can disappear frighteningly fast.</w:t>
      </w:r>
      <w:r/>
    </w:p>
    <w:p>
      <w:r/>
      <w:r>
        <w:t xml:space="preserve">Andrew Holleran's </w:t>
      </w:r>
      <w:r>
        <w:rPr>
          <w:i/>
        </w:rPr>
        <w:t>Dancer from the Dance</w:t>
      </w:r>
      <w:r>
        <w:t xml:space="preserve"> offers a different kind of historical snapshot, capturing pre-AIDS gay nightlife, desire and the ritual of meeting people before smartphones transformed social life. Goodreads readers continue to describe the novel as a defining work of its era.</w:t>
      </w:r>
      <w:r/>
    </w:p>
    <w:p>
      <w:r/>
      <w:r>
        <w:t xml:space="preserve">Paul Monette's </w:t>
      </w:r>
      <w:r>
        <w:rPr>
          <w:i/>
        </w:rPr>
        <w:t>Borrowed Time</w:t>
      </w:r>
      <w:r>
        <w:t xml:space="preserve"> then brings the AIDS epidemic into intimate focus. It's not a breezy read, but memoir can do something fiction can't: place a human voice beside the statistics and show exactly what was lost.</w:t>
      </w:r>
      <w:r/>
    </w:p>
    <w:p>
      <w:r/>
      <w:r>
        <w:t>Together, these books turn history into something tactile. You can almost hear the music, feel the crowded rooms and sense the silence that follows.</w:t>
      </w:r>
      <w:r/>
    </w:p>
    <w:p>
      <w:pPr>
        <w:pStyle w:val="Heading2"/>
      </w:pPr>
      <w:r>
        <w:t>A self-help classic for the feelings nobody explains</w:t>
      </w:r>
      <w:r/>
    </w:p>
    <w:p>
      <w:r/>
      <w:r>
        <w:t xml:space="preserve">Alan Downs's </w:t>
      </w:r>
      <w:r>
        <w:rPr>
          <w:i/>
        </w:rPr>
        <w:t>The Velvet Rage</w:t>
      </w:r>
      <w:r>
        <w:t xml:space="preserve"> takes a more direct route, examining shame, secrecy and the pressure many gay men feel to perform a confident version of themselves. It has been recommended as a book readers return to at different stages of life, rather than something to finish once and shelve.</w:t>
      </w:r>
      <w:r/>
    </w:p>
    <w:p>
      <w:r/>
      <w:r>
        <w:t>That makes it particularly useful for anyone who feels out of step with the image of effortless queer confidence. The language can be dense, and its framework won't suit everyone, but its central promise is clear: difficult feelings aren't proof that you're uniquely broken.</w:t>
      </w:r>
      <w:r/>
    </w:p>
    <w:p>
      <w:r/>
      <w:r>
        <w:t xml:space="preserve">For readers who'd prefer a gentler or younger perspective, Benjamin Alire Saenz's </w:t>
      </w:r>
      <w:r>
        <w:rPr>
          <w:i/>
        </w:rPr>
        <w:t>Aristotle and Dante Discover the Secrets of the Universe</w:t>
      </w:r>
      <w:r>
        <w:t xml:space="preserve"> offers a more tender entry point. It shows that queer coming-of-age stories can be thoughtful and hopeful without pretending every question has an instant answer.</w:t>
      </w:r>
      <w:r/>
    </w:p>
    <w:p>
      <w:pPr>
        <w:pStyle w:val="Heading2"/>
      </w:pPr>
      <w:r>
        <w:t>From Baldwin to Sedaris, there isn't one queer experience</w:t>
      </w:r>
      <w:r/>
    </w:p>
    <w:p>
      <w:r/>
      <w:r>
        <w:t xml:space="preserve">The wider recommendations are wonderfully unruly. James Baldwin's </w:t>
      </w:r>
      <w:r>
        <w:rPr>
          <w:i/>
        </w:rPr>
        <w:t>Giovanni's Room</w:t>
      </w:r>
      <w:r>
        <w:t xml:space="preserve"> brings secrecy, desire and heartbreak into a beautifully controlled tragedy, while E M Forster's </w:t>
      </w:r>
      <w:r>
        <w:rPr>
          <w:i/>
        </w:rPr>
        <w:t>Maurice</w:t>
      </w:r>
      <w:r>
        <w:t xml:space="preserve"> offers a more hopeful vision of survival and love.</w:t>
      </w:r>
      <w:r/>
    </w:p>
    <w:p>
      <w:r/>
      <w:r>
        <w:t xml:space="preserve">There are also books that refuse to be solemn. Joe Keenan's comic novels, David Sedaris's </w:t>
      </w:r>
      <w:r>
        <w:rPr>
          <w:i/>
        </w:rPr>
        <w:t>Naked</w:t>
      </w:r>
      <w:r>
        <w:t xml:space="preserve"> and Robert Rodi's </w:t>
      </w:r>
      <w:r>
        <w:rPr>
          <w:i/>
        </w:rPr>
        <w:t>F</w:t>
      </w:r>
      <w:r>
        <w:t>g Hag* bring camp, wit and social awkwardness into the mix. Sometimes a reader needs a historical reckoning; sometimes they need to laugh at the ridiculousness of dating and gay social codes.</w:t>
      </w:r>
      <w:r/>
    </w:p>
    <w:p>
      <w:r/>
      <w:r>
        <w:t>That variety is the real lesson. No single book can explain queer life, and no newcomer should feel obliged to read in chronological order or begin with the heaviest material. Start with the voice that feels welcoming, then follow the trail.</w:t>
      </w:r>
      <w:r/>
    </w:p>
    <w:p>
      <w:pPr>
        <w:pStyle w:val="Heading2"/>
      </w:pPr>
      <w:r>
        <w:t>How to choose your first queer classic</w:t>
      </w:r>
      <w:r/>
    </w:p>
    <w:p>
      <w:r/>
      <w:r>
        <w:t xml:space="preserve">If you're looking for warmth and community, begin with </w:t>
      </w:r>
      <w:r>
        <w:rPr>
          <w:i/>
        </w:rPr>
        <w:t>Tales of the City</w:t>
      </w:r>
      <w:r>
        <w:t xml:space="preserve">. For literary intensity, try </w:t>
      </w:r>
      <w:r>
        <w:rPr>
          <w:i/>
        </w:rPr>
        <w:t>Giovanni's Room</w:t>
      </w:r>
      <w:r>
        <w:t xml:space="preserve"> or </w:t>
      </w:r>
      <w:r>
        <w:rPr>
          <w:i/>
        </w:rPr>
        <w:t>Maurice</w:t>
      </w:r>
      <w:r>
        <w:t xml:space="preserve">. If you want a snapshot of nightlife and a vanished social world, </w:t>
      </w:r>
      <w:r>
        <w:rPr>
          <w:i/>
        </w:rPr>
        <w:t>Dancer from the Dance</w:t>
      </w:r>
      <w:r>
        <w:t xml:space="preserve"> is a natural fit.</w:t>
      </w:r>
      <w:r/>
    </w:p>
    <w:p>
      <w:r/>
      <w:r>
        <w:t xml:space="preserve">Readers who want practical reflection may prefer </w:t>
      </w:r>
      <w:r>
        <w:rPr>
          <w:i/>
        </w:rPr>
        <w:t>The Velvet Rage</w:t>
      </w:r>
      <w:r>
        <w:t xml:space="preserve">, while those ready for testimony should approach </w:t>
      </w:r>
      <w:r>
        <w:rPr>
          <w:i/>
        </w:rPr>
        <w:t>Borrowed Time</w:t>
      </w:r>
      <w:r>
        <w:t>. And if the mood is simply, "I need something funny", Keenan or Sedaris could be the better choice.</w:t>
      </w:r>
      <w:r/>
    </w:p>
    <w:p>
      <w:r/>
      <w:r>
        <w:t>The best first book isn't necessarily the most famous one. It's the one that makes you feel less alone, gives you a new way to name an experience or leaves you eager to talk about it afterwards.</w:t>
      </w:r>
      <w:r/>
    </w:p>
    <w:p>
      <w:r/>
      <w:r>
        <w:t>A great queer book doesn't just tell you who came before; it quietly makes room for who you're becoming.</w:t>
      </w:r>
      <w:r/>
    </w:p>
    <w:p>
      <w:r/>
      <w:r>
        <w:t>Explore the title that meets you where you are.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9">
        <w:r>
          <w:rPr>
            <w:color w:val="0000EE"/>
            <w:u w:val="single"/>
          </w:rPr>
          <w:t>[2]</w:t>
        </w:r>
      </w:hyperlink>
      <w:r>
        <w:t xml:space="preserve">, </w:t>
      </w:r>
      <w:hyperlink r:id="rId12">
        <w:r>
          <w:rPr>
            <w:color w:val="0000EE"/>
            <w:u w:val="single"/>
          </w:rPr>
          <w:t>[6]</w:t>
        </w:r>
      </w:hyperlink>
      <w:r>
        <w:t xml:space="preserve">- Paragraph 4: </w:t>
      </w:r>
      <w:hyperlink r:id="rId13">
        <w:r>
          <w:rPr>
            <w:color w:val="0000EE"/>
            <w:u w:val="single"/>
          </w:rPr>
          <w:t>[5]</w:t>
        </w:r>
      </w:hyperlink>
      <w:r>
        <w:t xml:space="preserve">, </w:t>
      </w:r>
      <w:hyperlink r:id="rId14">
        <w:r>
          <w:rPr>
            <w:color w:val="0000EE"/>
            <w:u w:val="single"/>
          </w:rPr>
          <w:t>[7]</w:t>
        </w:r>
      </w:hyperlink>
      <w:r>
        <w:t xml:space="preserve">- Paragraph 5: </w:t>
      </w:r>
      <w:hyperlink r:id="rId10">
        <w:r>
          <w:rPr>
            <w:color w:val="0000EE"/>
            <w:u w:val="single"/>
          </w:rPr>
          <w:t>[3]</w:t>
        </w:r>
      </w:hyperlink>
      <w:r>
        <w:t xml:space="preserve">, </w:t>
      </w:r>
      <w:hyperlink r:id="rId12">
        <w:r>
          <w:rPr>
            <w:color w:val="0000EE"/>
            <w:u w:val="single"/>
          </w:rPr>
          <w:t>[6]</w:t>
        </w:r>
      </w:hyperlink>
      <w:r>
        <w:t xml:space="preserve">- Paragraph 6: </w:t>
      </w:r>
      <w:hyperlink r:id="rId9">
        <w:r>
          <w:rPr>
            <w:color w:val="0000EE"/>
            <w:u w:val="single"/>
          </w:rPr>
          <w:t>[2]</w:t>
        </w:r>
      </w:hyperlink>
      <w:r>
        <w:t xml:space="preserve">, </w:t>
      </w:r>
      <w:hyperlink r:id="rId10">
        <w:r>
          <w:rPr>
            <w:color w:val="0000EE"/>
            <w:u w:val="single"/>
          </w:rPr>
          <w:t>[3]</w:t>
        </w:r>
      </w:hyperlink>
      <w:r>
        <w:t xml:space="preserve">- Paragraph 7: </w:t>
      </w:r>
      <w:hyperlink r:id="rId11">
        <w:r>
          <w:rPr>
            <w:color w:val="0000EE"/>
            <w:u w:val="single"/>
          </w:rPr>
          <w:t>[4]</w:t>
        </w:r>
      </w:hyperlink>
      <w:r>
        <w:t xml:space="preserve">, </w:t>
      </w:r>
      <w:hyperlink r:id="rId12">
        <w:r>
          <w:rPr>
            <w:color w:val="0000EE"/>
            <w:u w:val="single"/>
          </w:rPr>
          <w:t>[6]</w:t>
        </w:r>
      </w:hyperlink>
      <w:r>
        <w:t xml:space="preserve">- Paragraph 8: </w:t>
      </w:r>
      <w:hyperlink r:id="rId9">
        <w:r>
          <w:rPr>
            <w:color w:val="0000EE"/>
            <w:u w:val="single"/>
          </w:rPr>
          <w:t>[2]</w:t>
        </w:r>
      </w:hyperlink>
      <w:r>
        <w:t xml:space="preserve">, </w:t>
      </w:r>
      <w:hyperlink r:id="rId10">
        <w:r>
          <w:rPr>
            <w:color w:val="0000EE"/>
            <w:u w:val="single"/>
          </w:rPr>
          <w:t>[3]</w:t>
        </w:r>
      </w:hyperlink>
      <w:r>
        <w:t xml:space="preserve">- Paragraph 9: </w:t>
      </w:r>
      <w:hyperlink r:id="rId13">
        <w:r>
          <w:rPr>
            <w:color w:val="0000EE"/>
            <w:u w:val="single"/>
          </w:rPr>
          <w:t>[5]</w:t>
        </w:r>
      </w:hyperlink>
      <w:r>
        <w:t xml:space="preserve">, </w:t>
      </w:r>
      <w:hyperlink r:id="rId14">
        <w:r>
          <w:rPr>
            <w:color w:val="0000EE"/>
            <w:u w:val="single"/>
          </w:rPr>
          <w:t>[7]</w:t>
        </w:r>
      </w:hyperlink>
      <w:r>
        <w:t xml:space="preserve">- Paragraph 10: </w:t>
      </w:r>
      <w:hyperlink r:id="rId10">
        <w:r>
          <w:rPr>
            <w:color w:val="0000EE"/>
            <w:u w:val="single"/>
          </w:rPr>
          <w:t>[3]</w:t>
        </w:r>
      </w:hyperlink>
      <w:r>
        <w:t xml:space="preserve">, </w:t>
      </w:r>
      <w:hyperlink r:id="rId12">
        <w:r>
          <w:rPr>
            <w:color w:val="0000EE"/>
            <w:u w:val="single"/>
          </w:rPr>
          <w:t>[6]</w:t>
        </w:r>
      </w:hyperlink>
      <w:r>
        <w:t xml:space="preserve">- Paragraph 11: </w:t>
      </w:r>
      <w:hyperlink r:id="rId9">
        <w:r>
          <w:rPr>
            <w:color w:val="0000EE"/>
            <w:u w:val="single"/>
          </w:rPr>
          <w:t>[2]</w:t>
        </w:r>
      </w:hyperlink>
      <w:r>
        <w:t xml:space="preserve">, </w:t>
      </w:r>
      <w:hyperlink r:id="rId11">
        <w:r>
          <w:rPr>
            <w:color w:val="0000EE"/>
            <w:u w:val="single"/>
          </w:rPr>
          <w:t>[4]</w:t>
        </w:r>
      </w:hyperlink>
      <w:r>
        <w:t xml:space="preserve">- Paragraph 12: </w:t>
      </w:r>
      <w:hyperlink r:id="rId10">
        <w:r>
          <w:rPr>
            <w:color w:val="0000EE"/>
            <w:u w:val="single"/>
          </w:rPr>
          <w:t>[3]</w:t>
        </w:r>
      </w:hyperlink>
      <w:r>
        <w:t xml:space="preserve">, </w:t>
      </w:r>
      <w:hyperlink r:id="rId12">
        <w:r>
          <w:rPr>
            <w:color w:val="0000EE"/>
            <w:u w:val="single"/>
          </w:rPr>
          <w:t>[6]</w:t>
        </w:r>
      </w:hyperlink>
      <w:r>
        <w:t xml:space="preserve">- Paragraph 13: </w:t>
      </w:r>
      <w:hyperlink r:id="rId9">
        <w:r>
          <w:rPr>
            <w:color w:val="0000EE"/>
            <w:u w:val="single"/>
          </w:rPr>
          <w:t>[2]</w:t>
        </w:r>
      </w:hyperlink>
      <w:r>
        <w:t xml:space="preserve">, </w:t>
      </w:r>
      <w:hyperlink r:id="rId10">
        <w:r>
          <w:rPr>
            <w:color w:val="0000EE"/>
            <w:u w:val="single"/>
          </w:rPr>
          <w:t>[3]</w:t>
        </w:r>
      </w:hyperlink>
      <w:r>
        <w:t xml:space="preserve">- Paragraph 14: </w:t>
      </w:r>
      <w:hyperlink r:id="rId11">
        <w:r>
          <w:rPr>
            <w:color w:val="0000EE"/>
            <w:u w:val="single"/>
          </w:rPr>
          <w:t>[4]</w:t>
        </w:r>
      </w:hyperlink>
      <w:r>
        <w:t xml:space="preserve">, </w:t>
      </w:r>
      <w:hyperlink r:id="rId12">
        <w:r>
          <w:rPr>
            <w:color w:val="0000EE"/>
            <w:u w:val="single"/>
          </w:rPr>
          <w:t>[6]</w:t>
        </w:r>
      </w:hyperlink>
      <w:r>
        <w:t xml:space="preserve">- Paragraph 15: </w:t>
      </w:r>
      <w:hyperlink r:id="rId10">
        <w:r>
          <w:rPr>
            <w:color w:val="0000EE"/>
            <w:u w:val="single"/>
          </w:rPr>
          <w:t>[3]</w:t>
        </w:r>
      </w:hyperlink>
      <w:r>
        <w:t xml:space="preserve">, </w:t>
      </w:r>
      <w:hyperlink r:id="rId14">
        <w:r>
          <w:rPr>
            <w:color w:val="0000EE"/>
            <w:u w:val="single"/>
          </w:rPr>
          <w:t>[7]</w:t>
        </w:r>
      </w:hyperlink>
      <w:r>
        <w:t xml:space="preserve">- Paragraph 16: </w:t>
      </w:r>
      <w:hyperlink r:id="rId9">
        <w:r>
          <w:rPr>
            <w:color w:val="0000EE"/>
            <w:u w:val="single"/>
          </w:rPr>
          <w:t>[2]</w:t>
        </w:r>
      </w:hyperlink>
      <w:r>
        <w:t xml:space="preserve">, </w:t>
      </w:r>
      <w:hyperlink r:id="rId10">
        <w:r>
          <w:rPr>
            <w:color w:val="0000EE"/>
            <w:u w:val="single"/>
          </w:rPr>
          <w:t>[3]</w:t>
        </w:r>
      </w:hyperlink>
      <w:r>
        <w:t xml:space="preserve">- Paragraph 17: </w:t>
      </w:r>
      <w:hyperlink r:id="rId10">
        <w:r>
          <w:rPr>
            <w:color w:val="0000EE"/>
            <w:u w:val="single"/>
          </w:rPr>
          <w:t>[3]</w:t>
        </w:r>
      </w:hyperlink>
      <w:r>
        <w:t xml:space="preserve">, </w:t>
      </w:r>
      <w:hyperlink r:id="rId12">
        <w:r>
          <w:rPr>
            <w:color w:val="0000EE"/>
            <w:u w:val="single"/>
          </w:rPr>
          <w:t>[6]</w:t>
        </w:r>
      </w:hyperlink>
      <w:r>
        <w:t xml:space="preserve">- Paragraph 18: </w:t>
      </w:r>
      <w:hyperlink r:id="rId9">
        <w:r>
          <w:rPr>
            <w:color w:val="0000EE"/>
            <w:u w:val="single"/>
          </w:rPr>
          <w:t>[2]</w:t>
        </w:r>
      </w:hyperlink>
      <w:r>
        <w:t xml:space="preserve">, </w:t>
      </w:r>
      <w:hyperlink r:id="rId11">
        <w:r>
          <w:rPr>
            <w:color w:val="0000EE"/>
            <w:u w:val="single"/>
          </w:rPr>
          <w:t>[4]</w:t>
        </w:r>
      </w:hyperlink>
      <w:r>
        <w:t xml:space="preserve">- Paragraph 19: </w:t>
      </w:r>
      <w:hyperlink r:id="rId10">
        <w:r>
          <w:rPr>
            <w:color w:val="0000EE"/>
            <w:u w:val="single"/>
          </w:rPr>
          <w:t>[3]</w:t>
        </w:r>
      </w:hyperlink>
      <w:r>
        <w:t xml:space="preserve">, </w:t>
      </w:r>
      <w:hyperlink r:id="rId13">
        <w:r>
          <w:rPr>
            <w:color w:val="0000EE"/>
            <w:u w:val="single"/>
          </w:rPr>
          <w:t>[5]</w:t>
        </w:r>
      </w:hyperlink>
      <w:r>
        <w:t xml:space="preserve">- Paragraph 20: </w:t>
      </w:r>
      <w:hyperlink r:id="rId9">
        <w:r>
          <w:rPr>
            <w:color w:val="0000EE"/>
            <w:u w:val="single"/>
          </w:rPr>
          <w:t>[2]</w:t>
        </w:r>
      </w:hyperlink>
      <w:r>
        <w:t xml:space="preserve">, </w:t>
      </w:r>
      <w:hyperlink r:id="rId12">
        <w:r>
          <w:rPr>
            <w:color w:val="0000EE"/>
            <w:u w:val="single"/>
          </w:rPr>
          <w:t>[6]</w:t>
        </w:r>
      </w:hyperlink>
      <w:r>
        <w:t xml:space="preserve">- Paragraph 21: </w:t>
      </w:r>
      <w:hyperlink r:id="rId10">
        <w:r>
          <w:rPr>
            <w:color w:val="0000EE"/>
            <w:u w:val="single"/>
          </w:rPr>
          <w:t>[3]</w:t>
        </w:r>
      </w:hyperlink>
      <w:r>
        <w:t xml:space="preserve">, </w:t>
      </w:r>
      <w:hyperlink r:id="rId14">
        <w:r>
          <w:rPr>
            <w:color w:val="0000EE"/>
            <w:u w:val="single"/>
          </w:rPr>
          <w:t>[7]</w:t>
        </w:r>
      </w:hyperlink>
      <w:r>
        <w:t xml:space="preserve">- Paragraph 22: </w:t>
      </w:r>
      <w:hyperlink r:id="rId9">
        <w:r>
          <w:rPr>
            <w:color w:val="0000EE"/>
            <w:u w:val="single"/>
          </w:rPr>
          <w:t>[2]</w:t>
        </w:r>
      </w:hyperlink>
      <w:r>
        <w:t xml:space="preserve">, </w:t>
      </w:r>
      <w:hyperlink r:id="rId10">
        <w:r>
          <w:rPr>
            <w:color w:val="0000EE"/>
            <w:u w:val="single"/>
          </w:rPr>
          <w:t>[3]</w:t>
        </w:r>
      </w:hyperlink>
      <w:r>
        <w:t xml:space="preserve">- Paragraph 23: </w:t>
      </w:r>
      <w:hyperlink r:id="rId11">
        <w:r>
          <w:rPr>
            <w:color w:val="0000EE"/>
            <w:u w:val="single"/>
          </w:rPr>
          <w:t>[4]</w:t>
        </w:r>
      </w:hyperlink>
      <w:r>
        <w:t xml:space="preserve">, </w:t>
      </w:r>
      <w:hyperlink r:id="rId12">
        <w:r>
          <w:rPr>
            <w:color w:val="0000EE"/>
            <w:u w:val="single"/>
          </w:rPr>
          <w:t>[6]</w:t>
        </w:r>
      </w:hyperlink>
      <w:r>
        <w:t xml:space="preserve">- Paragraph 24: </w:t>
      </w:r>
      <w:hyperlink r:id="rId9">
        <w:r>
          <w:rPr>
            <w:color w:val="0000EE"/>
            <w:u w:val="single"/>
          </w:rPr>
          <w:t>[2]</w:t>
        </w:r>
      </w:hyperlink>
      <w:r>
        <w:t xml:space="preserve">, </w:t>
      </w:r>
      <w:hyperlink r:id="rId10">
        <w:r>
          <w:rPr>
            <w:color w:val="0000EE"/>
            <w:u w:val="single"/>
          </w:rPr>
          <w:t>[3]</w:t>
        </w:r>
      </w:hyperlink>
      <w:r>
        <w:t xml:space="preserve">- Paragraph 25: </w:t>
      </w:r>
      <w:hyperlink r:id="rId10">
        <w:r>
          <w:rPr>
            <w:color w:val="0000EE"/>
            <w:u w:val="single"/>
          </w:rPr>
          <w:t>[3]</w:t>
        </w:r>
      </w:hyperlink>
      <w:r>
        <w:t xml:space="preserve">, </w:t>
      </w:r>
      <w:hyperlink r:id="rId14">
        <w:r>
          <w:rPr>
            <w:color w:val="0000EE"/>
            <w:u w:val="single"/>
          </w:rPr>
          <w:t>[7]</w:t>
        </w:r>
      </w:hyperlink>
      <w:r>
        <w:t xml:space="preserve">- Paragraph 26: </w:t>
      </w:r>
      <w:hyperlink r:id="rId9">
        <w:r>
          <w:rPr>
            <w:color w:val="0000EE"/>
            <w:u w:val="single"/>
          </w:rPr>
          <w:t>[2]</w:t>
        </w:r>
      </w:hyperlink>
      <w:r>
        <w:t xml:space="preserve">, </w:t>
      </w:r>
      <w:hyperlink r:id="rId11">
        <w:r>
          <w:rPr>
            <w:color w:val="0000EE"/>
            <w:u w:val="single"/>
          </w:rPr>
          <w:t>[4]</w:t>
        </w:r>
      </w:hyperlink>
      <w:r>
        <w:t xml:space="preserve">- Paragraph 27: </w:t>
      </w:r>
      <w:hyperlink r:id="rId10">
        <w:r>
          <w:rPr>
            <w:color w:val="0000EE"/>
            <w:u w:val="single"/>
          </w:rPr>
          <w:t>[3]</w:t>
        </w:r>
      </w:hyperlink>
      <w:r>
        <w:t xml:space="preserve">, </w:t>
      </w:r>
      <w:hyperlink r:id="rId12">
        <w:r>
          <w:rPr>
            <w:color w:val="0000EE"/>
            <w:u w:val="single"/>
          </w:rPr>
          <w:t>[6]</w:t>
        </w:r>
      </w:hyperlink>
      <w:r>
        <w:t xml:space="preserve">- Paragraph 28: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https://www.queerty.com/tales-about-pre-aids-promiscuity-in-sf-hedonism-heartbreak-in-the-weimar-republic-a-front-runner-gays-name-the-books-that-every-baby-gay-should-read-20261018/</w:t>
        </w:r>
      </w:hyperlink>
      <w:r>
        <w:t xml:space="preserve"> - Please view link - unable to able to access data</w:t>
      </w:r>
      <w:r/>
    </w:p>
    <w:p>
      <w:pPr>
        <w:pStyle w:val="ListNumber"/>
        <w:spacing w:line="240" w:lineRule="auto"/>
        <w:ind w:left="720"/>
      </w:pPr>
      <w:r/>
      <w:hyperlink r:id="rId9">
        <w:r>
          <w:rPr>
            <w:color w:val="0000EE"/>
            <w:u w:val="single"/>
          </w:rPr>
          <w:t>https://www.queerty.com/tales-about-pre-aids-promiscuity-in-sf-hedonism-heartbreak-in-the-weimar-republic-a-front-runner-gays-name-the-books-that-every-baby-gay-should-read-20261018/</w:t>
        </w:r>
      </w:hyperlink>
      <w:r>
        <w:t xml:space="preserve"> - An article from Queerty discussing classic queer literature recommended for young LGBTQ+ individuals. It highlights books such as 'Tales of the City' by Armistead Maupin, 'The Front Runner' by Patricia Nell Warren, 'The Velvet Rage' by Dr. Alan Downs, 'Dancer from the Dance' by Andrew Holleran, and 'Goodbye to Berlin' by Christopher Isherwood. The piece includes personal recommendations from readers, emphasizing themes of community, self-acceptance, and the exploration of queer identities.</w:t>
      </w:r>
      <w:r/>
    </w:p>
    <w:p>
      <w:pPr>
        <w:pStyle w:val="ListNumber"/>
        <w:spacing w:line="240" w:lineRule="auto"/>
        <w:ind w:left="720"/>
      </w:pPr>
      <w:r/>
      <w:hyperlink r:id="rId10">
        <w:r>
          <w:rPr>
            <w:color w:val="0000EE"/>
            <w:u w:val="single"/>
          </w:rPr>
          <w:t>https://www.advocate.com/books/best-gay-books-all-time</w:t>
        </w:r>
      </w:hyperlink>
      <w:r>
        <w:t xml:space="preserve"> - An article from The Advocate listing the best gay books of all time. It includes 'Tales of the City' by Armistead Maupin, which follows an eclectic group of characters in 1970s San Francisco, and 'A Boy’s Own Story' by Edmund White, a coming-of-age novel about a young gay man in the Midwest. The piece highlights the significance of these works in LGBTQ+ literature.</w:t>
      </w:r>
      <w:r/>
    </w:p>
    <w:p>
      <w:pPr>
        <w:pStyle w:val="ListNumber"/>
        <w:spacing w:line="240" w:lineRule="auto"/>
        <w:ind w:left="720"/>
      </w:pPr>
      <w:r/>
      <w:hyperlink r:id="rId11">
        <w:r>
          <w:rPr>
            <w:color w:val="0000EE"/>
            <w:u w:val="single"/>
          </w:rPr>
          <w:t>https://www.outsports.com/2019/10/29/20936835/</w:t>
        </w:r>
      </w:hyperlink>
      <w:r>
        <w:t xml:space="preserve"> - An article from Outsports discussing Patricia Nell Warren's novel 'The Front Runner'. The piece highlights the novel's impact on LGBTQ+ literature, noting its status as a bestseller and its focus on a gay coach and his Olympic runner. It also touches on the author's background and the novel's significance in the context of LGBTQ+ sports history.</w:t>
      </w:r>
      <w:r/>
    </w:p>
    <w:p>
      <w:pPr>
        <w:pStyle w:val="ListNumber"/>
        <w:spacing w:line="240" w:lineRule="auto"/>
        <w:ind w:left="720"/>
      </w:pPr>
      <w:r/>
      <w:hyperlink r:id="rId13">
        <w:r>
          <w:rPr>
            <w:color w:val="0000EE"/>
            <w:u w:val="single"/>
          </w:rPr>
          <w:t>https://www.ebsco.com/research-starters/social-sciences-and-humanities/front-runner-makes-new-york-times-best-seller-list/</w:t>
        </w:r>
      </w:hyperlink>
      <w:r>
        <w:t xml:space="preserve"> - An article from EBSCOhost detailing the history of Patricia Nell Warren's 'The Front Runner'. It discusses the novel's achievement as the first gay-themed book to appear on The New York Times Best-Seller List in 1974, its exploration of the experiences of closeted gay athletes, and its significance in the post-Stonewall GLBT rights movement.</w:t>
      </w:r>
      <w:r/>
    </w:p>
    <w:p>
      <w:pPr>
        <w:pStyle w:val="ListNumber"/>
        <w:spacing w:line="240" w:lineRule="auto"/>
        <w:ind w:left="720"/>
      </w:pPr>
      <w:r/>
      <w:hyperlink r:id="rId12">
        <w:r>
          <w:rPr>
            <w:color w:val="0000EE"/>
            <w:u w:val="single"/>
          </w:rPr>
          <w:t>https://www.goodreads.com/book/show/2283961</w:t>
        </w:r>
      </w:hyperlink>
      <w:r>
        <w:t xml:space="preserve"> - A Goodreads page for 'The Front Runner' by Patricia Nell Warren. The page includes a synopsis of the novel, which tells the story of a love affair between a coach and his star athlete, set against the backdrop of the 1976 Olympics. It also features user reviews and ratings, providing insights into the novel's reception and impact.</w:t>
      </w:r>
      <w:r/>
    </w:p>
    <w:p>
      <w:pPr>
        <w:pStyle w:val="ListNumber"/>
        <w:spacing w:line="240" w:lineRule="auto"/>
        <w:ind w:left="720"/>
      </w:pPr>
      <w:r/>
      <w:hyperlink r:id="rId14">
        <w:r>
          <w:rPr>
            <w:color w:val="0000EE"/>
            <w:u w:val="single"/>
          </w:rPr>
          <w:t>https://www.goodreads.com/book/show/2623502-front-runner</w:t>
        </w:r>
      </w:hyperlink>
      <w:r>
        <w:t xml:space="preserve"> - A Goodreads page for 'The Front Runner' by Patricia Nell Warren. The page includes a synopsis of the novel, which tells the story of a love affair between a coach and his star athlete, set against the backdrop of the 1976 Olympics. It also features user reviews and ratings, providing insights into the novel's reception and impact.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tales-about-pre-aids-promiscuity-in-sf-hedonism-heartbreak-in-the-weimar-republic-a-front-runner-gays-name-the-books-that-every-baby-gay-should-read-20261018/" TargetMode="External"/><Relationship Id="rId10" Type="http://schemas.openxmlformats.org/officeDocument/2006/relationships/hyperlink" Target="https://www.advocate.com/books/best-gay-books-all-time" TargetMode="External"/><Relationship Id="rId11" Type="http://schemas.openxmlformats.org/officeDocument/2006/relationships/hyperlink" Target="https://www.outsports.com/2019/10/29/20936835/" TargetMode="External"/><Relationship Id="rId12" Type="http://schemas.openxmlformats.org/officeDocument/2006/relationships/hyperlink" Target="https://www.goodreads.com/book/show/2283961" TargetMode="External"/><Relationship Id="rId13" Type="http://schemas.openxmlformats.org/officeDocument/2006/relationships/hyperlink" Target="https://www.ebsco.com/research-starters/social-sciences-and-humanities/front-runner-makes-new-york-times-best-seller-list/" TargetMode="External"/><Relationship Id="rId14" Type="http://schemas.openxmlformats.org/officeDocument/2006/relationships/hyperlink" Target="https://www.goodreads.com/book/show/2623502-front-runn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