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Britain Needs Careful Debate on Sexuality and Therapy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Britain is being asked to make difficult decisions about sexuality, trauma and so-called conversion therapy. New research and legal debates suggest the answer won't be found in slogans alone, particularly for people seeking help with painful childhood experiences, mental health concerns or questions about identity.</w:t>
      </w:r>
      <w:r/>
    </w:p>
    <w:p>
      <w:pPr>
        <w:pStyle w:val="Heading2"/>
      </w:pPr>
      <w:r>
        <w:t>The conversation Britain would rather avoid</w:t>
      </w:r>
      <w:r/>
    </w:p>
    <w:p>
      <w:r/>
      <w:r>
        <w:t>Few subjects are as politically charged as the causes of same-sex attraction. The popular phrase "born this way" has become shorthand for dignity and acceptance, but it doesn't answer every clinical question, and it shouldn't be used to shut down responsible research.</w:t>
      </w:r>
      <w:r/>
    </w:p>
    <w:p>
      <w:r/>
      <w:r>
        <w:t>A 2022 study in JAMA Psychiatry found that sexual-minority adults reported adverse childhood experiences more often than heterosexual adults. That association matters, although it doesn't prove that trauma causes sexual orientation. It may instead reflect the effects of stigma, family conflict, abuse or other factors that can make childhood particularly difficult.</w:t>
      </w:r>
      <w:r/>
    </w:p>
    <w:p>
      <w:r/>
      <w:r>
        <w:t>This distinction is crucial. People deserve support without being told that their identity is an illness, while researchers must still be free to investigate how trauma, medication, social pressures and development can affect individual lives.</w:t>
      </w:r>
      <w:r/>
    </w:p>
    <w:p>
      <w:pPr>
        <w:pStyle w:val="Heading2"/>
      </w:pPr>
      <w:r>
        <w:t>Trauma deserves a place in the room</w:t>
      </w:r>
      <w:r/>
    </w:p>
    <w:p>
      <w:r/>
      <w:r>
        <w:t>For some people, sexuality-related distress sits alongside abuse, anxiety, depression or substance use. A review published through ResearchGate examined substance-use outcomes among sexual and gender-minority adults with adverse childhood experiences, highlighting how early trauma can continue to shape health and behaviour well into adulthood.</w:t>
      </w:r>
      <w:r/>
    </w:p>
    <w:p>
      <w:r/>
      <w:r>
        <w:t>That doesn't create a universal explanation for same-sex attraction, and it certainly shouldn't be turned into a political weapon. But a clinician who notices trauma should be able to discuss it sensitively, rather than treating the subject as forbidden.</w:t>
      </w:r>
      <w:r/>
    </w:p>
    <w:p>
      <w:r/>
      <w:r>
        <w:t>The practical point is simple: therapy should focus on the client's wellbeing, not on forcing a predetermined conclusion. Someone may want help accepting their identity, exploring painful memories, managing compulsive behaviour or understanding relationship patterns. Those needs aren't interchangeable.</w:t>
      </w:r>
      <w:r/>
    </w:p>
    <w:p>
      <w:pPr>
        <w:pStyle w:val="Heading2"/>
      </w:pPr>
      <w:r>
        <w:t>Australia shows why definitions matter</w:t>
      </w:r>
      <w:r/>
    </w:p>
    <w:p>
      <w:r/>
      <w:r>
        <w:t>Australia's conversion-therapy laws have intensified the debate because the term can cover very different practices. Psychology Today describes conversion therapy as efforts to change a person's sexual orientation or gender identity, often through approaches criticised as harmful and unsupported by evidence.</w:t>
      </w:r>
      <w:r/>
    </w:p>
    <w:p>
      <w:r/>
      <w:r>
        <w:t>At the same time, legal frameworks can raise difficult questions about ordinary counselling. Guidance from the University of New South Wales on Queensland and Australian Capital Territory bans notes the importance of understanding what conduct is prohibited and how the rules affect LGBTQI Australians.</w:t>
      </w:r>
      <w:r/>
    </w:p>
    <w:p>
      <w:r/>
      <w:r>
        <w:t>That uncertainty is not a minor drafting issue. If a law is so broad that a therapist fears discussing trauma, unwanted thoughts or a client's own goals, vulnerable people may simply stop seeking help. If it's too narrow, genuinely coercive practices could continue under a different name.</w:t>
      </w:r>
      <w:r/>
    </w:p>
    <w:p>
      <w:pPr>
        <w:pStyle w:val="Heading2"/>
      </w:pPr>
      <w:r>
        <w:t>Protection and exploration aren't opposites</w:t>
      </w:r>
      <w:r/>
    </w:p>
    <w:p>
      <w:r/>
      <w:r>
        <w:t>The strongest case for restrictions is clear: no one should be bullied, threatened or subjected to humiliating treatment designed to erase who they are. Psychology Today has documented the professional consensus that conversion efforts lack a reliable evidence base and can cause harm.</w:t>
      </w:r>
      <w:r/>
    </w:p>
    <w:p>
      <w:r/>
      <w:r>
        <w:t>But protection shouldn't mean banning every conversation that makes people uncomfortable. A client-led discussion about unwanted sexual behaviour, childhood abuse or the meaning someone attaches to their attractions is not automatically the same as a programme designed to change orientation.</w:t>
      </w:r>
      <w:r/>
    </w:p>
    <w:p>
      <w:r/>
      <w:r>
        <w:t>A legal analysis published by Psychology Today has also raised free-speech and constitutional questions around conversion-therapy bans. Britain should examine those concerns carefully before importing legislation from elsewhere, particularly when the definition remains contested.</w:t>
      </w:r>
      <w:r/>
    </w:p>
    <w:p>
      <w:pPr>
        <w:pStyle w:val="Heading2"/>
      </w:pPr>
      <w:r>
        <w:t>What good counselling should look like</w:t>
      </w:r>
      <w:r/>
    </w:p>
    <w:p>
      <w:r/>
      <w:r>
        <w:t>For anyone seeking support, the most useful questions are practical. Is the therapist qualified and registered? Do they explain confidentiality and safeguarding clearly? Are they willing to explore trauma without promising a particular outcome? Do they respect the client's autonomy, including the right to stop?</w:t>
      </w:r>
      <w:r/>
    </w:p>
    <w:p>
      <w:r/>
      <w:r>
        <w:t>People should also be wary of dramatic claims, whether a practitioner promises to change orientation or insists that every difficulty has one political explanation. Good therapy is usually quieter than that. It listens, tests assumptions and helps a person make sense of their life without turning them into a case study for someone else's campaign.</w:t>
      </w:r>
      <w:r/>
    </w:p>
    <w:p>
      <w:r/>
      <w:r>
        <w:t>Britain can protect LGBTQI people from coercion while preserving honest, evidence-based care. That balance may be harder to sell than a slogan, but it's far more likely to help the people who need support.</w:t>
      </w:r>
      <w:r/>
    </w:p>
    <w:p>
      <w:r/>
      <w:r>
        <w:t>It's a small but vital distinction: ban coercion, not compassionate questions.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2">
        <w:r>
          <w:rPr>
            <w:color w:val="0000EE"/>
            <w:u w:val="single"/>
          </w:rPr>
          <w:t>[7]</w:t>
        </w:r>
      </w:hyperlink>
      <w:r>
        <w:t xml:space="preserve">- Paragraph 4: </w:t>
      </w:r>
      <w:hyperlink r:id="rId14">
        <w:r>
          <w:rPr>
            <w:color w:val="0000EE"/>
            <w:u w:val="single"/>
          </w:rPr>
          <w:t>[3]</w:t>
        </w:r>
      </w:hyperlink>
      <w:r>
        <w:t xml:space="preserve">, </w:t>
      </w:r>
      <w:hyperlink r:id="rId13">
        <w:r>
          <w:rPr>
            <w:color w:val="0000EE"/>
            <w:u w:val="single"/>
          </w:rPr>
          <w:t>[4]</w:t>
        </w:r>
      </w:hyperlink>
      <w:r>
        <w:t xml:space="preserve">- Paragraph 5: </w:t>
      </w:r>
      <w:hyperlink r:id="rId14">
        <w:r>
          <w:rPr>
            <w:color w:val="0000EE"/>
            <w:u w:val="single"/>
          </w:rPr>
          <w:t>[3]</w:t>
        </w:r>
      </w:hyperlink>
      <w:r>
        <w:t xml:space="preserve">, </w:t>
      </w:r>
      <w:hyperlink r:id="rId15">
        <w:r>
          <w:rPr>
            <w:color w:val="0000EE"/>
            <w:u w:val="single"/>
          </w:rPr>
          <w:t>[5]</w:t>
        </w:r>
      </w:hyperlink>
      <w:r>
        <w:t xml:space="preserve">- Paragraph 6: </w:t>
      </w:r>
      <w:hyperlink r:id="rId13">
        <w:r>
          <w:rPr>
            <w:color w:val="0000EE"/>
            <w:u w:val="single"/>
          </w:rPr>
          <w:t>[4]</w:t>
        </w:r>
      </w:hyperlink>
      <w:r>
        <w:t xml:space="preserve">, </w:t>
      </w:r>
      <w:hyperlink r:id="rId15">
        <w:r>
          <w:rPr>
            <w:color w:val="0000EE"/>
            <w:u w:val="single"/>
          </w:rPr>
          <w:t>[5]</w:t>
        </w:r>
      </w:hyperlink>
      <w:r>
        <w:t xml:space="preserve">- Paragraph 7: </w:t>
      </w:r>
      <w:hyperlink r:id="rId13">
        <w:r>
          <w:rPr>
            <w:color w:val="0000EE"/>
            <w:u w:val="single"/>
          </w:rPr>
          <w:t>[4]</w:t>
        </w:r>
      </w:hyperlink>
      <w:r>
        <w:t xml:space="preserve">, </w:t>
      </w:r>
      <w:hyperlink r:id="rId15">
        <w:r>
          <w:rPr>
            <w:color w:val="0000EE"/>
            <w:u w:val="single"/>
          </w:rPr>
          <w:t>[5]</w:t>
        </w:r>
      </w:hyperlink>
      <w:r>
        <w:t xml:space="preserve">- Paragraph 8: </w:t>
      </w:r>
      <w:hyperlink r:id="rId14">
        <w:r>
          <w:rPr>
            <w:color w:val="0000EE"/>
            <w:u w:val="single"/>
          </w:rPr>
          <w:t>[3]</w:t>
        </w:r>
      </w:hyperlink>
      <w:r>
        <w:t xml:space="preserve">, </w:t>
      </w:r>
      <w:hyperlink r:id="rId13">
        <w:r>
          <w:rPr>
            <w:color w:val="0000EE"/>
            <w:u w:val="single"/>
          </w:rPr>
          <w:t>[4]</w:t>
        </w:r>
      </w:hyperlink>
      <w:r>
        <w:t xml:space="preserve">- Paragraph 9: </w:t>
      </w:r>
      <w:hyperlink r:id="rId15">
        <w:r>
          <w:rPr>
            <w:color w:val="0000EE"/>
            <w:u w:val="single"/>
          </w:rPr>
          <w:t>[5]</w:t>
        </w:r>
      </w:hyperlink>
      <w:r>
        <w:t xml:space="preserve">, </w:t>
      </w:r>
      <w:hyperlink r:id="rId12">
        <w:r>
          <w:rPr>
            <w:color w:val="0000EE"/>
            <w:u w:val="single"/>
          </w:rPr>
          <w:t>[7]</w:t>
        </w:r>
      </w:hyperlink>
      <w:r>
        <w:t xml:space="preserve">- Paragraph 10: </w:t>
      </w:r>
      <w:hyperlink r:id="rId14">
        <w:r>
          <w:rPr>
            <w:color w:val="0000EE"/>
            <w:u w:val="single"/>
          </w:rPr>
          <w:t>[3]</w:t>
        </w:r>
      </w:hyperlink>
      <w:r>
        <w:t xml:space="preserve">, </w:t>
      </w:r>
      <w:hyperlink r:id="rId13">
        <w:r>
          <w:rPr>
            <w:color w:val="0000EE"/>
            <w:u w:val="single"/>
          </w:rPr>
          <w:t>[4]</w:t>
        </w:r>
      </w:hyperlink>
      <w:r>
        <w:t xml:space="preserve">- Paragraph 11: </w:t>
      </w:r>
      <w:hyperlink r:id="rId13">
        <w:r>
          <w:rPr>
            <w:color w:val="0000EE"/>
            <w:u w:val="single"/>
          </w:rPr>
          <w:t>[4]</w:t>
        </w:r>
      </w:hyperlink>
      <w:r>
        <w:t xml:space="preserve">, </w:t>
      </w:r>
      <w:hyperlink r:id="rId15">
        <w:r>
          <w:rPr>
            <w:color w:val="0000EE"/>
            <w:u w:val="single"/>
          </w:rPr>
          <w:t>[5]</w:t>
        </w:r>
      </w:hyperlink>
      <w:r>
        <w:t xml:space="preserve">- Paragraph 12: </w:t>
      </w:r>
      <w:hyperlink r:id="rId14">
        <w:r>
          <w:rPr>
            <w:color w:val="0000EE"/>
            <w:u w:val="single"/>
          </w:rPr>
          <w:t>[3]</w:t>
        </w:r>
      </w:hyperlink>
      <w:r>
        <w:t xml:space="preserve">, </w:t>
      </w:r>
      <w:hyperlink r:id="rId15">
        <w:r>
          <w:rPr>
            <w:color w:val="0000EE"/>
            <w:u w:val="single"/>
          </w:rPr>
          <w:t>[5]</w:t>
        </w:r>
      </w:hyperlink>
      <w:r>
        <w:t xml:space="preserve">- Paragraph 13: </w:t>
      </w:r>
      <w:hyperlink r:id="rId13">
        <w:r>
          <w:rPr>
            <w:color w:val="0000EE"/>
            <w:u w:val="single"/>
          </w:rPr>
          <w:t>[4]</w:t>
        </w:r>
      </w:hyperlink>
      <w:r>
        <w:t xml:space="preserve">, </w:t>
      </w:r>
      <w:hyperlink r:id="rId12">
        <w:r>
          <w:rPr>
            <w:color w:val="0000EE"/>
            <w:u w:val="single"/>
          </w:rPr>
          <w:t>[7]</w:t>
        </w:r>
      </w:hyperlink>
      <w:r>
        <w:t xml:space="preserve">- Paragraph 14: </w:t>
      </w:r>
      <w:hyperlink r:id="rId14">
        <w:r>
          <w:rPr>
            <w:color w:val="0000EE"/>
            <w:u w:val="single"/>
          </w:rPr>
          <w:t>[3]</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https://changedmvmtblog.substack.com/p/the-echo-dont-ask-britain-should</w:t>
        </w:r>
      </w:hyperlink>
      <w:r>
        <w:t xml:space="preserve"> - Please view link - unable to able to access data</w:t>
      </w:r>
      <w:r/>
    </w:p>
    <w:p>
      <w:pPr>
        <w:pStyle w:val="ListNumber"/>
        <w:spacing w:line="240" w:lineRule="auto"/>
        <w:ind w:left="720"/>
      </w:pPr>
      <w:r/>
      <w:hyperlink r:id="rId10">
        <w:r>
          <w:rPr>
            <w:color w:val="0000EE"/>
            <w:u w:val="single"/>
          </w:rPr>
          <w:t>https://doi.org/10.1001/jamapsychiatry.2022.0001</w:t>
        </w:r>
      </w:hyperlink>
      <w:r>
        <w:t xml:space="preserve"> - A 2022 study published in JAMA Psychiatry found that 83% of sexual-minority adults reported at least one adverse childhood experience, compared to 64% of heterosexuals. The research highlights the higher prevalence of adverse childhood experiences among sexual minorities, which may contribute to mental distress in adulthood. The study underscores the importance of addressing these early life adversities to improve mental health outcomes for sexual-minority individuals.</w:t>
      </w:r>
      <w:r/>
    </w:p>
    <w:p>
      <w:pPr>
        <w:pStyle w:val="ListNumber"/>
        <w:spacing w:line="240" w:lineRule="auto"/>
        <w:ind w:left="720"/>
      </w:pPr>
      <w:r/>
      <w:hyperlink r:id="rId14">
        <w:r>
          <w:rPr>
            <w:color w:val="0000EE"/>
            <w:u w:val="single"/>
          </w:rPr>
          <w:t>https://www.humanrights.unsw.edu.au/news/what-queensland-and-act-bans-conversion-therapy-mean-lgbtqi-australians</w:t>
        </w:r>
      </w:hyperlink>
      <w:r>
        <w:t xml:space="preserve"> - This article discusses the impact of conversion therapy bans in Queensland and the Australian Capital Territory (ACT) on LGBTQI+ Australians. It explains that conversion therapy is a pseudoscientific practice aimed at changing an individual's sexual orientation or gender identity, often leading to physical and mental harm. The bans in these regions are seen as a step towards protecting LGBTQI+ individuals from such practices, with hopes for a national ban in the future.</w:t>
      </w:r>
      <w:r/>
    </w:p>
    <w:p>
      <w:pPr>
        <w:pStyle w:val="ListNumber"/>
        <w:spacing w:line="240" w:lineRule="auto"/>
        <w:ind w:left="720"/>
      </w:pPr>
      <w:r/>
      <w:hyperlink r:id="rId13">
        <w:r>
          <w:rPr>
            <w:color w:val="0000EE"/>
            <w:u w:val="single"/>
          </w:rPr>
          <w:t>https://www.psychologytoday.com/au/basics/conversion-therapy</w:t>
        </w:r>
      </w:hyperlink>
      <w:r>
        <w:t xml:space="preserve"> - An overview of conversion therapy, a discredited practice attempting to change an individual's sexual orientation or gender identity. The article highlights that such therapies are ineffective and associated with negative mental health outcomes, including depression and increased suicide risk. It also notes that major professional organizations have condemned conversion therapy, emphasizing the importance of affirming LGBTQ+ identities in therapeutic settings.</w:t>
      </w:r>
      <w:r/>
    </w:p>
    <w:p>
      <w:pPr>
        <w:pStyle w:val="ListNumber"/>
        <w:spacing w:line="240" w:lineRule="auto"/>
        <w:ind w:left="720"/>
      </w:pPr>
      <w:r/>
      <w:hyperlink r:id="rId15">
        <w:r>
          <w:rPr>
            <w:color w:val="0000EE"/>
            <w:u w:val="single"/>
          </w:rPr>
          <w:t>https://www.psychologytoday.com/au/blog/agens-scientiam/202604/scotus-rules-conversion-therapy-ban-likely-unconstitutional</w:t>
        </w:r>
      </w:hyperlink>
      <w:r>
        <w:t xml:space="preserve"> - This article reports on the Supreme Court's suggestion that state bans on conversion therapy might be unconstitutional. It discusses the ethical and legal conflicts faced by mental health professionals working with LGBTQ+ clients and emphasizes that, regardless of the constitutionality of such bans, conversion therapy remains harmful and inconsistent with professional ethical principles.</w:t>
      </w:r>
      <w:r/>
    </w:p>
    <w:p>
      <w:pPr>
        <w:pStyle w:val="ListNumber"/>
        <w:spacing w:line="240" w:lineRule="auto"/>
        <w:ind w:left="720"/>
      </w:pPr>
      <w:r/>
      <w:hyperlink r:id="rId11">
        <w:r>
          <w:rPr>
            <w:color w:val="0000EE"/>
            <w:u w:val="single"/>
          </w:rPr>
          <w:t>https://www.tandfonline.com/doi/abs/10.1080/00224499.2022.2034137</w:t>
        </w:r>
      </w:hyperlink>
      <w:r>
        <w:t xml:space="preserve"> - A study examining the relationship between childhood experiences and mental health among sexual minority adults. The research explores three models to understand how adverse and protective childhood experiences influence mental health outcomes in this population. The findings contribute to the broader understanding of the factors affecting mental health in sexual minority individuals.</w:t>
      </w:r>
      <w:r/>
    </w:p>
    <w:p>
      <w:pPr>
        <w:pStyle w:val="ListNumber"/>
        <w:spacing w:line="240" w:lineRule="auto"/>
        <w:ind w:left="720"/>
      </w:pPr>
      <w:r/>
      <w:hyperlink r:id="rId12">
        <w:r>
          <w:rPr>
            <w:color w:val="0000EE"/>
            <w:u w:val="single"/>
          </w:rPr>
          <w:t>https://www.researchgate.net/publication/366141599_Substance_Use_Outcomes_For_Sexual_and_Gender_Minority_Adults_With_a_History_of_Adverse_Childhood_Experiences_A_Scoping_Review</w:t>
        </w:r>
      </w:hyperlink>
      <w:r>
        <w:t xml:space="preserve"> - A scoping review examining substance use outcomes for sexual and gender minority adults with a history of adverse childhood experiences. The review highlights the significant impact of early life adversities on substance use behaviors in this population, emphasizing the need for targeted interventions to address these issues and improve health outcomes.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hangedmvmtblog.substack.com/p/the-echo-dont-ask-britain-should" TargetMode="External"/><Relationship Id="rId10" Type="http://schemas.openxmlformats.org/officeDocument/2006/relationships/hyperlink" Target="https://doi.org/10.1001/jamapsychiatry.2022.0001" TargetMode="External"/><Relationship Id="rId11" Type="http://schemas.openxmlformats.org/officeDocument/2006/relationships/hyperlink" Target="https://www.tandfonline.com/doi/abs/10.1080/00224499.2022.2034137" TargetMode="External"/><Relationship Id="rId12" Type="http://schemas.openxmlformats.org/officeDocument/2006/relationships/hyperlink" Target="https://www.researchgate.net/publication/366141599_Substance_Use_Outcomes_For_Sexual_and_Gender_Minority_Adults_With_a_History_of_Adverse_Childhood_Experiences_A_Scoping_Review" TargetMode="External"/><Relationship Id="rId13" Type="http://schemas.openxmlformats.org/officeDocument/2006/relationships/hyperlink" Target="https://www.psychologytoday.com/au/basics/conversion-therapy" TargetMode="External"/><Relationship Id="rId14" Type="http://schemas.openxmlformats.org/officeDocument/2006/relationships/hyperlink" Target="https://www.humanrights.unsw.edu.au/news/what-queensland-and-act-bans-conversion-therapy-mean-lgbtqi-australians" TargetMode="External"/><Relationship Id="rId15" Type="http://schemas.openxmlformats.org/officeDocument/2006/relationships/hyperlink" Target="https://www.psychologytoday.com/au/blog/agens-scientiam/202604/scotus-rules-conversion-therapy-ban-likely-unconstitution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