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Italy's LGBTQ+ Spending and Gender Policy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Public funding for equality projects is drawing fresh attention across Italy, from Emilia-Romagna and Bologna to Rome and Milan. Supporters see practical investment in safety and access, while critics question the scale, priorities and language behind the spending.</w:t>
      </w:r>
      <w:r/>
    </w:p>
    <w:p>
      <w:pPr>
        <w:pStyle w:val="Heading2"/>
      </w:pPr>
      <w:r>
        <w:t>Essential Takeaways</w:t>
      </w:r>
      <w:r/>
      <w:r/>
    </w:p>
    <w:p>
      <w:pPr>
        <w:pStyle w:val="ListBullet"/>
        <w:spacing w:line="240" w:lineRule="auto"/>
        <w:ind w:left="720"/>
      </w:pPr>
      <w:r/>
      <w:r>
        <w:rPr>
          <w:b/>
        </w:rPr>
        <w:t>Regional grants:</w:t>
      </w:r>
      <w:r>
        <w:t xml:space="preserve"> Emilia-Romagna has funded campaigns and projects addressing discrimination, stereotypes and social inclusion.</w:t>
      </w:r>
      <w:r/>
    </w:p>
    <w:p>
      <w:pPr>
        <w:pStyle w:val="ListBullet"/>
        <w:spacing w:line="240" w:lineRule="auto"/>
        <w:ind w:left="720"/>
      </w:pPr>
      <w:r/>
      <w:r>
        <w:rPr>
          <w:b/>
        </w:rPr>
        <w:t>Bologna's approach:</w:t>
      </w:r>
      <w:r>
        <w:t xml:space="preserve"> The city is applying a gender perspective to urban planning, while supporting dedicated advice and listening services.</w:t>
      </w:r>
      <w:r/>
    </w:p>
    <w:p>
      <w:pPr>
        <w:pStyle w:val="ListBullet"/>
        <w:spacing w:line="240" w:lineRule="auto"/>
        <w:ind w:left="720"/>
      </w:pPr>
      <w:r/>
      <w:r>
        <w:rPr>
          <w:b/>
        </w:rPr>
        <w:t>Practical support:</w:t>
      </w:r>
      <w:r>
        <w:t xml:space="preserve"> LGBTQ+ centres can offer guidance, emotional support and referrals, rather than simply staging cultural events.</w:t>
      </w:r>
      <w:r/>
    </w:p>
    <w:p>
      <w:pPr>
        <w:pStyle w:val="ListBullet"/>
        <w:spacing w:line="240" w:lineRule="auto"/>
        <w:ind w:left="720"/>
      </w:pPr>
      <w:r/>
      <w:r>
        <w:rPr>
          <w:b/>
        </w:rPr>
        <w:t>The wider debate:</w:t>
      </w:r>
      <w:r>
        <w:t xml:space="preserve"> Arguments over so-called woke spending often blend legitimate budget questions with highly charged political rhetoric.</w:t>
      </w:r>
      <w:r/>
      <w:r/>
    </w:p>
    <w:p>
      <w:pPr>
        <w:pStyle w:val="Heading2"/>
      </w:pPr>
      <w:r>
        <w:t>Italy's equality spending is under a brighter spotlight</w:t>
      </w:r>
      <w:r/>
    </w:p>
    <w:p>
      <w:r/>
      <w:r>
        <w:t>The argument over public money and equality initiatives has moved well beyond slogans. In Italy, regional administrations and city councils are funding campaigns, advice services, cultural programmes and planning projects intended to make public life more inclusive.</w:t>
      </w:r>
      <w:r/>
    </w:p>
    <w:p>
      <w:r/>
      <w:r>
        <w:t>That spending is now being examined through a sharper political lens. Panorama presented the figures as evidence of an expensive ideological project, while official material from Emilia-Romagna and Bologna describes many initiatives in more practical terms, including anti-discrimination work and support for people facing exclusion.</w:t>
      </w:r>
      <w:r/>
    </w:p>
    <w:p>
      <w:r/>
      <w:r>
        <w:t>The contrast matters. A campaign poster may be easy to mock or dismiss, but a listening service, legal referral or safer public space is judged by a different standard: whether people can actually use it.</w:t>
      </w:r>
      <w:r/>
    </w:p>
    <w:p>
      <w:pPr>
        <w:pStyle w:val="Heading2"/>
      </w:pPr>
      <w:r>
        <w:t>What Emilia-Romagna says its programmes are doing</w:t>
      </w:r>
      <w:r/>
    </w:p>
    <w:p>
      <w:r/>
      <w:r>
        <w:t>Emilia-Romagna has placed particular emphasis on awareness and prevention. Its public campaign "Non sono solo scritte" focuses on the impact of discriminatory language and messages, framing them as part of a wider social environment rather than harmless decoration.</w:t>
      </w:r>
      <w:r/>
    </w:p>
    <w:p>
      <w:r/>
      <w:r>
        <w:t>According to the Emilia-Romagna regional administration, the project is connected to work around combating discrimination and promoting a culture of respect. That makes it less about a single festival or event and more about changing how institutions and communities respond to hostility.</w:t>
      </w:r>
      <w:r/>
    </w:p>
    <w:p>
      <w:r/>
      <w:r>
        <w:t>The challenge, of course, is measuring results. Spending is easier to announce than to evaluate, so residents are entitled to ask how many people were reached, which services improved and whether the work produced lasting changes.</w:t>
      </w:r>
      <w:r/>
    </w:p>
    <w:p>
      <w:pPr>
        <w:pStyle w:val="Heading2"/>
      </w:pPr>
      <w:r>
        <w:t>Bologna is taking the debate into streets and buildings</w:t>
      </w:r>
      <w:r/>
    </w:p>
    <w:p>
      <w:r/>
      <w:r>
        <w:t>Bologna's gender-planning policy gives the story a more physical dimension. The city's council has approved guidance for considering gender and different patterns of access when designing streets, parks, transport links and public facilities.</w:t>
      </w:r>
      <w:r/>
    </w:p>
    <w:p>
      <w:r/>
      <w:r>
        <w:t>The city says this approach can reveal problems that standard planning may miss, such as poorly lit routes, awkward access, limited seating or public spaces that feel unsafe at particular times. The idea isn't to repaint every pavement, but to ask who uses an area, when they use it and what gets in the way.</w:t>
      </w:r>
      <w:r/>
    </w:p>
    <w:p>
      <w:r/>
      <w:r>
        <w:t>A separate exploratory walk, reported by ArchiBO, shows how this can work on the ground. Residents and participants examine a neighbourhood together, noting barriers and everyday experiences that may not appear on a conventional planning map. It's a quietly useful reminder that urban design is often felt before it's formally measured.</w:t>
      </w:r>
      <w:r/>
    </w:p>
    <w:p>
      <w:pPr>
        <w:pStyle w:val="Heading2"/>
      </w:pPr>
      <w:r>
        <w:t>Support services can be more valuable than grand language</w:t>
      </w:r>
      <w:r/>
    </w:p>
    <w:p>
      <w:r/>
      <w:r>
        <w:t>Not every equality project is an abstract exercise. Bologna's LGBTQI+ services include spaces designed for listening, support and orientation, giving people somewhere to ask questions or seek help without having to navigate the wider system alone.</w:t>
      </w:r>
      <w:r/>
    </w:p>
    <w:p>
      <w:r/>
      <w:r>
        <w:t>Bandiera Gialla reported on the opening of a listening and support space at Cassero, presenting it as a practical point of contact for people seeking information and guidance. Services like this can be particularly important for younger people, isolated residents or anyone unsure where to turn.</w:t>
      </w:r>
      <w:r/>
    </w:p>
    <w:p>
      <w:r/>
      <w:r>
        <w:t>That doesn't make every funded initiative automatically effective. Councils still need clear budgets, transparent contracts and evidence of demand. But it does suggest that the public conversation should distinguish between frontline support and broad cultural branding. They may sit under the same policy umbrella, but they don't serve the same purpose.</w:t>
      </w:r>
      <w:r/>
    </w:p>
    <w:p>
      <w:pPr>
        <w:pStyle w:val="Heading2"/>
      </w:pPr>
      <w:r>
        <w:t>Why the spending argument remains so politically charged</w:t>
      </w:r>
      <w:r/>
    </w:p>
    <w:p>
      <w:r/>
      <w:r>
        <w:t>Critics have seized on the language of "woke" to question grants for gender equality, LGBTQ+ inclusion and intercultural projects. Panorama's article gathers spending figures from several Italian cities and regions, including programmes in Emilia-Romagna, Bologna, Milan and Rome, and presents them as part of a wider ideological campaign.</w:t>
      </w:r>
      <w:r/>
    </w:p>
    <w:p>
      <w:r/>
      <w:r>
        <w:t>Supporters use a different vocabulary. Official communications tend to focus on discrimination, participation, safety and access to services. Bologna's planning guidance, for example, treats gender as one factor in understanding how people experience the city, rather than as a replacement for conventional engineering or transport priorities.</w:t>
      </w:r>
      <w:r/>
    </w:p>
    <w:p>
      <w:r/>
      <w:r>
        <w:t>Both sides are making a political case, but the useful consumer-style question is simpler: what is being bought, who benefits and how will success be checked? If a project cannot answer those questions, scepticism is reasonable. If it can, dismissing it solely because of its terminology is equally simplistic.</w:t>
      </w:r>
      <w:r/>
    </w:p>
    <w:p>
      <w:pPr>
        <w:pStyle w:val="Heading2"/>
      </w:pPr>
      <w:r>
        <w:t>What taxpayers should look for next</w:t>
      </w:r>
      <w:r/>
    </w:p>
    <w:p>
      <w:r/>
      <w:r>
        <w:t>The strongest test for these programmes will be transparency. Councils should publish the amount awarded, the organisation receiving it, the work promised, the number of users reached and the outcome after completion.</w:t>
      </w:r>
      <w:r/>
    </w:p>
    <w:p>
      <w:r/>
      <w:r>
        <w:t>Residents can also look for whether projects overlap. A city with several campaigns but no clear referral network may be spending on visibility rather than access. Conversely, a modest service that connects people with housing, health, legal or safeguarding help may deliver more value than a much larger publicity programme.</w:t>
      </w:r>
      <w:r/>
    </w:p>
    <w:p>
      <w:r/>
      <w:r>
        <w:t>Italy's equality debate isn't disappearing, even if the word "woke" is losing some of its force. The sensible future lies somewhere between unquestioning approval and theatrical outrage: fund useful work, measure it honestly and stop pretending every poster is a revolution.</w:t>
      </w:r>
      <w:r/>
    </w:p>
    <w:p>
      <w:r/>
      <w:r>
        <w:t>It's a small shift in focus, but it puts public value back at the centre of the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Paragraph 8: </w:t>
      </w:r>
      <w:hyperlink r:id="rId14">
        <w:r>
          <w:rPr>
            <w:color w:val="0000EE"/>
            <w:u w:val="single"/>
          </w:rPr>
          <w:t>[7]</w:t>
        </w:r>
      </w:hyperlink>
      <w:r>
        <w:t xml:space="preserve">- Paragraph 9: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14">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1">
        <w:r>
          <w:rPr>
            <w:color w:val="0000EE"/>
            <w:u w:val="single"/>
          </w:rPr>
          <w:t>[4]</w:t>
        </w:r>
      </w:hyperlink>
      <w:r>
        <w:t xml:space="preserve">, </w:t>
      </w:r>
      <w:hyperlink r:id="rId12">
        <w:r>
          <w:rPr>
            <w:color w:val="0000EE"/>
            <w:u w:val="single"/>
          </w:rPr>
          <w:t>[5]</w:t>
        </w:r>
      </w:hyperlink>
      <w:r>
        <w:t xml:space="preserve">- Paragraph 17: </w:t>
      </w:r>
      <w:hyperlink r:id="rId9">
        <w:r>
          <w:rPr>
            <w:color w:val="0000EE"/>
            <w:u w:val="single"/>
          </w:rPr>
          <w:t>[2]</w:t>
        </w:r>
      </w:hyperlink>
      <w:r>
        <w:t xml:space="preserve">, </w:t>
      </w:r>
      <w:hyperlink r:id="rId10">
        <w:r>
          <w:rPr>
            <w:color w:val="0000EE"/>
            <w:u w:val="single"/>
          </w:rPr>
          <w:t>[3]</w:t>
        </w:r>
      </w:hyperlink>
      <w:r>
        <w:t xml:space="preserve">- Paragraph 18: </w:t>
      </w:r>
      <w:hyperlink r:id="rId11">
        <w:r>
          <w:rPr>
            <w:color w:val="0000EE"/>
            <w:u w:val="single"/>
          </w:rPr>
          <w:t>[4]</w:t>
        </w:r>
      </w:hyperlink>
      <w:r>
        <w:t xml:space="preserve">, </w:t>
      </w:r>
      <w:hyperlink r:id="rId12">
        <w:r>
          <w:rPr>
            <w:color w:val="0000EE"/>
            <w:u w:val="single"/>
          </w:rPr>
          <w:t>[5]</w:t>
        </w:r>
      </w:hyperlink>
      <w:r>
        <w:t xml:space="preserve">- Paragraph 19: </w:t>
      </w:r>
      <w:hyperlink r:id="rId10">
        <w:r>
          <w:rPr>
            <w:color w:val="0000EE"/>
            <w:u w:val="single"/>
          </w:rPr>
          <w:t>[3]</w:t>
        </w:r>
      </w:hyperlink>
      <w:r>
        <w:t xml:space="preserve">, </w:t>
      </w:r>
      <w:hyperlink r:id="rId14">
        <w:r>
          <w:rPr>
            <w:color w:val="0000EE"/>
            <w:u w:val="single"/>
          </w:rPr>
          <w:t>[7]</w:t>
        </w:r>
      </w:hyperlink>
      <w:r>
        <w:t xml:space="preserve">- Paragraph 20: </w:t>
      </w:r>
      <w:hyperlink r:id="rId12">
        <w:r>
          <w:rPr>
            <w:color w:val="0000EE"/>
            <w:u w:val="single"/>
          </w:rPr>
          <w:t>[5]</w:t>
        </w:r>
      </w:hyperlink>
      <w:r>
        <w:t xml:space="preserve">, </w:t>
      </w:r>
      <w:hyperlink r:id="rId13">
        <w:r>
          <w:rPr>
            <w:color w:val="0000EE"/>
            <w:u w:val="single"/>
          </w:rPr>
          <w:t>[6]</w:t>
        </w:r>
      </w:hyperlink>
      <w:r>
        <w:t xml:space="preserve">- Paragraph 21: </w:t>
      </w:r>
      <w:hyperlink r:id="rId9">
        <w:r>
          <w:rPr>
            <w:color w:val="0000EE"/>
            <w:u w:val="single"/>
          </w:rPr>
          <w:t>[2]</w:t>
        </w:r>
      </w:hyperlink>
      <w:r>
        <w:t xml:space="preserve">, </w:t>
      </w:r>
      <w:hyperlink r:id="rId10">
        <w:r>
          <w:rPr>
            <w:color w:val="0000EE"/>
            <w:u w:val="single"/>
          </w:rPr>
          <w:t>[3]</w:t>
        </w:r>
      </w:hyperlink>
      <w:r>
        <w:t xml:space="preserve">- Paragraph 22: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https://www.panorama.it/attualita/politica/quanto-ci-costa-il-woke-ecco-dove-finiscono-i-milioni-per-la-crociata-arcobaleno</w:t>
        </w:r>
      </w:hyperlink>
      <w:r>
        <w:t xml:space="preserve"> - Please view link - unable to able to access data</w:t>
      </w:r>
      <w:r/>
    </w:p>
    <w:p>
      <w:pPr>
        <w:pStyle w:val="ListNumber"/>
        <w:spacing w:line="240" w:lineRule="auto"/>
        <w:ind w:left="720"/>
      </w:pPr>
      <w:r/>
      <w:hyperlink r:id="rId9">
        <w:r>
          <w:rPr>
            <w:color w:val="0000EE"/>
            <w:u w:val="single"/>
          </w:rPr>
          <w:t>https://www.panorama.it/attualita/politica/quanto-ci-costa-il-woke-ecco-dove-finiscono-i-milioni-per-la-crociata-arcobaleno</w:t>
        </w:r>
      </w:hyperlink>
      <w:r>
        <w:t xml:space="preserve"> - The article discusses the financial investments made by Italian regions and cities in LGBTQIA+ initiatives, highlighting significant funding in areas such as Emilia-Romagna, Bologna, and Rome. It details specific projects, including the allocation of €440,000 to 35 projects promoting 'culture of peace' and 'global citizenship' in Emilia-Romagna, and €2.7 million aimed at combating stereotypes. The piece also mentions the establishment of a €290,000 LGBT+ collaboration pact in Bologna and the integration of gender perspectives in urban planning, reflecting a broader commitment to LGBTQIA+ rights and inclusion across Italy.</w:t>
      </w:r>
      <w:r/>
    </w:p>
    <w:p>
      <w:pPr>
        <w:pStyle w:val="ListNumber"/>
        <w:spacing w:line="240" w:lineRule="auto"/>
        <w:ind w:left="720"/>
      </w:pPr>
      <w:r/>
      <w:hyperlink r:id="rId10">
        <w:r>
          <w:rPr>
            <w:color w:val="0000EE"/>
            <w:u w:val="single"/>
          </w:rPr>
          <w:t>https://www.regione.emilia-romagna.it/comunicazione/campagne-per-anno/2026/non-sono-solo-scritte</w:t>
        </w:r>
      </w:hyperlink>
      <w:r>
        <w:t xml:space="preserve"> - The Emilia-Romagna Region launched the 'Non sono solo scritte' campaign to combat homolesbobitransphobia. The initiative replicates common homophobic, biphobic, and transphobic graffiti found in public spaces to highlight the invisible consequences of such discrimination. The campaign aims to raise awareness and promote collective responsibility in addressing hate speech, with activities including the creation of a project landing page, a map of associations, and public displays, in collaboration with the Municipality of Bologna and other partners.</w:t>
      </w:r>
      <w:r/>
    </w:p>
    <w:p>
      <w:pPr>
        <w:pStyle w:val="ListNumber"/>
        <w:spacing w:line="240" w:lineRule="auto"/>
        <w:ind w:left="720"/>
      </w:pPr>
      <w:r/>
      <w:hyperlink r:id="rId11">
        <w:r>
          <w:rPr>
            <w:color w:val="0000EE"/>
            <w:u w:val="single"/>
          </w:rPr>
          <w:t>https://www.comune.bologna.it/novita/comunicati-stampa/non-sono-solo-scritte-verso-il-17-maggio-la-campagna-nata-dalle-associazioni-lgbtqia-regionali-e</w:t>
        </w:r>
      </w:hyperlink>
      <w:r>
        <w:t xml:space="preserve"> - In collaboration with regional LGBTQIA+ associations and the Municipality of Bologna, the 'Non sono solo scritte' campaign was launched to address homolesbobitransphobic graffiti in public spaces. The campaign replicates common discriminatory messages found in various environments to raise awareness about the invisible consequences of such hate speech. It aims to highlight the pervasive nature of homonegative attitudes and their impact on individuals of all ages and backgrounds, with activities including public displays and the creation of a project landing page.</w:t>
      </w:r>
      <w:r/>
    </w:p>
    <w:p>
      <w:pPr>
        <w:pStyle w:val="ListNumber"/>
        <w:spacing w:line="240" w:lineRule="auto"/>
        <w:ind w:left="720"/>
      </w:pPr>
      <w:r/>
      <w:hyperlink r:id="rId12">
        <w:r>
          <w:rPr>
            <w:color w:val="0000EE"/>
            <w:u w:val="single"/>
          </w:rPr>
          <w:t>https://www.comune.bologna.it/novita/comunicati-stampa/prospettiva-di-genere-nella-pianificazione-urbana-approvato-dalla-giunta-un-manuale-con-le-linee</w:t>
        </w:r>
      </w:hyperlink>
      <w:r>
        <w:t xml:space="preserve"> - The Municipality of Bologna approved the 'Linee guida per progetti inclusivi di genere a Bologna' manual, aiming to integrate a gender perspective into urban planning. The manual provides a checklist divided into four groups of indicators—Proximity, Diversity, Safety-Comfort, Autonomy, and Accessibility—to guide municipal technicians in the design and implementation of public buildings and urban infrastructures. This initiative is part of the 'Gender gap reduction in urban projects' project, funded by the European Investment Bank and implemented with technical assistance from various organizations.</w:t>
      </w:r>
      <w:r/>
    </w:p>
    <w:p>
      <w:pPr>
        <w:pStyle w:val="ListNumber"/>
        <w:spacing w:line="240" w:lineRule="auto"/>
        <w:ind w:left="720"/>
      </w:pPr>
      <w:r/>
      <w:hyperlink r:id="rId13">
        <w:r>
          <w:rPr>
            <w:color w:val="0000EE"/>
            <w:u w:val="single"/>
          </w:rPr>
          <w:t>https://www.archibo.it/news/camminata-esplorativa-bologna-verso-un-atlante-di-genere</w:t>
        </w:r>
      </w:hyperlink>
      <w:r>
        <w:t xml:space="preserve"> - The Municipality of Bologna, in collaboration with Period Think Tank, Sex &amp; the City APS, Città Metropolitana, Casa delle Donne per non subire violenza, and SOS donna, organized an exploratory walk in the university area to integrate a gender perspective into urban planning. The walk aimed to identify elements that could improve the perception of safety and usability of public spaces, encouraging planning that accommodates all bodies and needs. This initiative is part of the 'Gender gap reduction in urban projects' project, supported by the Emilia-Romagna Region.</w:t>
      </w:r>
      <w:r/>
    </w:p>
    <w:p>
      <w:pPr>
        <w:pStyle w:val="ListNumber"/>
        <w:spacing w:line="240" w:lineRule="auto"/>
        <w:ind w:left="720"/>
      </w:pPr>
      <w:r/>
      <w:hyperlink r:id="rId14">
        <w:r>
          <w:rPr>
            <w:color w:val="0000EE"/>
            <w:u w:val="single"/>
          </w:rPr>
          <w:t>https://www.bandieragialla.it/news/uno-sportello-di-ascolto-supporto-e-orientamento-inaugurato-a-bologna-lo-spazio-lgbti-cassero/</w:t>
        </w:r>
      </w:hyperlink>
      <w:r>
        <w:t xml:space="preserve"> - The Cassero LGBT Center in Bologna inaugurated a listening, support, and orientation desk for LGBTQI+ individuals. Open five days a week, the service aims to improve the living and psychological conditions of LGBTQIA+ people facing discrimination due to their sexual orientation and gender identity. The project adopts an intersectional approach, considering other factors of discrimination, and is managed by LGBTQIA+ individuals using a peer-to-peer method, reflecting Bologna's commitment to LGBTQIA+ rights and inclusion.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norama.it/attualita/politica/quanto-ci-costa-il-woke-ecco-dove-finiscono-i-milioni-per-la-crociata-arcobaleno" TargetMode="External"/><Relationship Id="rId10" Type="http://schemas.openxmlformats.org/officeDocument/2006/relationships/hyperlink" Target="https://www.regione.emilia-romagna.it/comunicazione/campagne-per-anno/2026/non-sono-solo-scritte" TargetMode="External"/><Relationship Id="rId11" Type="http://schemas.openxmlformats.org/officeDocument/2006/relationships/hyperlink" Target="https://www.comune.bologna.it/novita/comunicati-stampa/non-sono-solo-scritte-verso-il-17-maggio-la-campagna-nata-dalle-associazioni-lgbtqia-regionali-e" TargetMode="External"/><Relationship Id="rId12" Type="http://schemas.openxmlformats.org/officeDocument/2006/relationships/hyperlink" Target="https://www.comune.bologna.it/novita/comunicati-stampa/prospettiva-di-genere-nella-pianificazione-urbana-approvato-dalla-giunta-un-manuale-con-le-linee" TargetMode="External"/><Relationship Id="rId13" Type="http://schemas.openxmlformats.org/officeDocument/2006/relationships/hyperlink" Target="https://www.archibo.it/news/camminata-esplorativa-bologna-verso-un-atlante-di-genere" TargetMode="External"/><Relationship Id="rId14" Type="http://schemas.openxmlformats.org/officeDocument/2006/relationships/hyperlink" Target="https://www.bandieragialla.it/news/uno-sportello-di-ascolto-supporto-e-orientamento-inaugurato-a-bologna-lo-spazio-lgbti-casse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