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Ukraine’s New Human Rights Strategy Strengthens LGBTQI+ Protection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Ukraine has adopted a new national human rights strategy that names LGBTQI+ people among groups facing a heightened risk of rights violations. The move links legal reform with the country’s EU ambitions, while setting measurable goals around discrimination complaints, hate-crime cases and access to free legal aid.</w:t>
      </w:r>
      <w:r/>
    </w:p>
    <w:p>
      <w:pPr>
        <w:pStyle w:val="Heading2"/>
      </w:pPr>
      <w:r>
        <w:t>Essential Takeaways</w:t>
      </w:r>
      <w:r/>
      <w:r/>
    </w:p>
    <w:p>
      <w:pPr>
        <w:pStyle w:val="ListBullet"/>
        <w:spacing w:line="240" w:lineRule="auto"/>
        <w:ind w:left="720"/>
      </w:pPr>
      <w:r/>
      <w:r>
        <w:rPr>
          <w:b/>
        </w:rPr>
        <w:t>LGBTQI+ people are specifically recognised:</w:t>
      </w:r>
      <w:r>
        <w:t xml:space="preserve"> The strategy identifies them as vulnerable to rights violations.</w:t>
      </w:r>
      <w:r/>
    </w:p>
    <w:p>
      <w:pPr>
        <w:pStyle w:val="ListBullet"/>
        <w:spacing w:line="240" w:lineRule="auto"/>
        <w:ind w:left="720"/>
      </w:pPr>
      <w:r/>
      <w:r>
        <w:rPr>
          <w:b/>
        </w:rPr>
        <w:t>EU integration is central:</w:t>
      </w:r>
      <w:r>
        <w:t xml:space="preserve"> The decree supports Ukraine’s commitments under its Association Agreement with the EU.</w:t>
      </w:r>
      <w:r/>
    </w:p>
    <w:p>
      <w:pPr>
        <w:pStyle w:val="ListBullet"/>
        <w:spacing w:line="240" w:lineRule="auto"/>
        <w:ind w:left="720"/>
      </w:pPr>
      <w:r/>
      <w:r>
        <w:rPr>
          <w:b/>
        </w:rPr>
        <w:t>Progress will be measured:</w:t>
      </w:r>
      <w:r>
        <w:t xml:space="preserve"> Indicators include discrimination complaints, hate-crime prosecutions and legal-aid access.</w:t>
      </w:r>
      <w:r/>
    </w:p>
    <w:p>
      <w:pPr>
        <w:pStyle w:val="ListBullet"/>
        <w:spacing w:line="240" w:lineRule="auto"/>
        <w:ind w:left="720"/>
      </w:pPr>
      <w:r/>
      <w:r>
        <w:rPr>
          <w:b/>
        </w:rPr>
        <w:t>Implementation is now required:</w:t>
      </w:r>
      <w:r>
        <w:t xml:space="preserve"> Government bodies and local authorities must work together to put the strategy into practice.</w:t>
      </w:r>
      <w:r/>
    </w:p>
    <w:p>
      <w:pPr>
        <w:pStyle w:val="ListBullet"/>
        <w:spacing w:line="240" w:lineRule="auto"/>
        <w:ind w:left="720"/>
      </w:pPr>
      <w:r/>
      <w:r>
        <w:rPr>
          <w:b/>
        </w:rPr>
        <w:t>The approach is broad:</w:t>
      </w:r>
      <w:r>
        <w:t xml:space="preserve"> Other groups mentioned include children, disabled people, veterans, displaced people and national minorities.</w:t>
      </w:r>
      <w:r/>
      <w:r/>
    </w:p>
    <w:p>
      <w:pPr>
        <w:pStyle w:val="Heading2"/>
      </w:pPr>
      <w:r>
        <w:t>A clear shift from principle to policy</w:t>
      </w:r>
      <w:r/>
    </w:p>
    <w:p>
      <w:r/>
      <w:r>
        <w:t>The most significant detail is the explicit reference to LGBTQI+ people in a national human rights document. That wording matters because it moves recognition beyond general promises of equality and towards a framework for identifying risks, tracking progress and assigning responsibility.</w:t>
      </w:r>
      <w:r/>
    </w:p>
    <w:p>
      <w:r/>
      <w:r>
        <w:t xml:space="preserve">According to the LGBT Human Rights Nash Svit Coalition, the decree makes LGBTQI+ rights protection part of national policy. It also places those protections within a wider programme covering people who may be exposed to discrimination or unequal access to justice. </w:t>
      </w:r>
      <w:hyperlink r:id="rId9">
        <w:r>
          <w:rPr>
            <w:color w:val="0000EE"/>
            <w:u w:val="single"/>
          </w:rPr>
          <w:t>[2]</w:t>
        </w:r>
      </w:hyperlink>
      <w:r>
        <w:t xml:space="preserve">, </w:t>
      </w:r>
      <w:hyperlink r:id="rId10">
        <w:r>
          <w:rPr>
            <w:color w:val="0000EE"/>
            <w:u w:val="single"/>
          </w:rPr>
          <w:t>[4]</w:t>
        </w:r>
      </w:hyperlink>
      <w:r/>
    </w:p>
    <w:p>
      <w:r/>
      <w:r>
        <w:t xml:space="preserve">The strategy applies to everyone under Ukraine’s jurisdiction, regardless of citizenship or residence. That broad language is important in a country dealing with displacement, occupied territories and the continuing effects of war. </w:t>
      </w:r>
      <w:hyperlink r:id="rId11">
        <w:r>
          <w:rPr>
            <w:color w:val="0000EE"/>
            <w:u w:val="single"/>
          </w:rPr>
          <w:t>[5]</w:t>
        </w:r>
      </w:hyperlink>
      <w:r>
        <w:t xml:space="preserve">, </w:t>
      </w:r>
      <w:hyperlink r:id="rId12">
        <w:r>
          <w:rPr>
            <w:color w:val="0000EE"/>
            <w:u w:val="single"/>
          </w:rPr>
          <w:t>[6]</w:t>
        </w:r>
      </w:hyperlink>
      <w:r/>
    </w:p>
    <w:p>
      <w:pPr>
        <w:pStyle w:val="Heading2"/>
      </w:pPr>
      <w:r>
        <w:t>Why the EU connection matters</w:t>
      </w:r>
      <w:r/>
    </w:p>
    <w:p>
      <w:r/>
      <w:r>
        <w:t>The decree is closely tied to Ukraine’s European integration process. Its stated aim is to bring national human rights policy closer to EU standards and help meet commitments linked to membership negotiations, including the Rule of Law Roadmap.</w:t>
      </w:r>
      <w:r/>
    </w:p>
    <w:p>
      <w:r/>
      <w:r>
        <w:t xml:space="preserve">Ukrainian media reports described the move as part of the country’s wider effort to demonstrate progress on democratic governance and legal protections. It’s a technical step on paper, but the political message is unmistakable: human rights reform is being treated as part of Ukraine’s European future, not as an optional extra. </w:t>
      </w:r>
      <w:hyperlink r:id="rId13">
        <w:r>
          <w:rPr>
            <w:color w:val="0000EE"/>
            <w:u w:val="single"/>
          </w:rPr>
          <w:t>[3]</w:t>
        </w:r>
      </w:hyperlink>
      <w:r>
        <w:t xml:space="preserve">, </w:t>
      </w:r>
      <w:hyperlink r:id="rId11">
        <w:r>
          <w:rPr>
            <w:color w:val="0000EE"/>
            <w:u w:val="single"/>
          </w:rPr>
          <w:t>[5]</w:t>
        </w:r>
      </w:hyperlink>
      <w:r/>
    </w:p>
    <w:p>
      <w:r/>
      <w:r>
        <w:t xml:space="preserve">That context also explains the strategy’s wide scope. Rather than focusing on one community, it sets out protections for groups whose circumstances can increase their exposure to abuse, exclusion or barriers to support. </w:t>
      </w:r>
      <w:hyperlink r:id="rId10">
        <w:r>
          <w:rPr>
            <w:color w:val="0000EE"/>
            <w:u w:val="single"/>
          </w:rPr>
          <w:t>[4]</w:t>
        </w:r>
      </w:hyperlink>
      <w:r>
        <w:t xml:space="preserve">, </w:t>
      </w:r>
      <w:hyperlink r:id="rId14">
        <w:r>
          <w:rPr>
            <w:color w:val="0000EE"/>
            <w:u w:val="single"/>
          </w:rPr>
          <w:t>[7]</w:t>
        </w:r>
      </w:hyperlink>
      <w:r/>
    </w:p>
    <w:p>
      <w:pPr>
        <w:pStyle w:val="Heading2"/>
      </w:pPr>
      <w:r>
        <w:t>The strategy includes ways to track results</w:t>
      </w:r>
      <w:r/>
    </w:p>
    <w:p>
      <w:r/>
      <w:r>
        <w:t>A policy can sound impressive and still gather dust, so the proposed indicators are crucial. The strategy points to the number of discrimination complaints submitted to the ombudsman, the share of criminal cases involving hate crimes and the number of people receiving free legal assistance.</w:t>
      </w:r>
      <w:r/>
    </w:p>
    <w:p>
      <w:r/>
      <w:r>
        <w:t xml:space="preserve">Those measures could give officials, campaigners and the public a clearer view of whether the policy is changing everyday access to justice. More complaints might initially suggest worsening discrimination, for instance, but could also show that people feel safer reporting it. The figures will need careful interpretation rather than a quick victory lap. </w:t>
      </w:r>
      <w:hyperlink r:id="rId9">
        <w:r>
          <w:rPr>
            <w:color w:val="0000EE"/>
            <w:u w:val="single"/>
          </w:rPr>
          <w:t>[2]</w:t>
        </w:r>
      </w:hyperlink>
      <w:r>
        <w:t xml:space="preserve">, </w:t>
      </w:r>
      <w:hyperlink r:id="rId12">
        <w:r>
          <w:rPr>
            <w:color w:val="0000EE"/>
            <w:u w:val="single"/>
          </w:rPr>
          <w:t>[6]</w:t>
        </w:r>
      </w:hyperlink>
      <w:r/>
    </w:p>
    <w:p>
      <w:r/>
      <w:r>
        <w:t xml:space="preserve">The inclusion of legal aid is particularly practical. For someone facing discrimination, knowing that support is available can make the difference between abandoning a case and pursuing it. </w:t>
      </w:r>
      <w:hyperlink r:id="rId11">
        <w:r>
          <w:rPr>
            <w:color w:val="0000EE"/>
            <w:u w:val="single"/>
          </w:rPr>
          <w:t>[5]</w:t>
        </w:r>
      </w:hyperlink>
      <w:r>
        <w:t xml:space="preserve">, </w:t>
      </w:r>
      <w:hyperlink r:id="rId14">
        <w:r>
          <w:rPr>
            <w:color w:val="0000EE"/>
            <w:u w:val="single"/>
          </w:rPr>
          <w:t>[7]</w:t>
        </w:r>
      </w:hyperlink>
      <w:r/>
    </w:p>
    <w:p>
      <w:pPr>
        <w:pStyle w:val="Heading2"/>
      </w:pPr>
      <w:r>
        <w:t>What implementation will look like</w:t>
      </w:r>
      <w:r/>
    </w:p>
    <w:p>
      <w:r/>
      <w:r>
        <w:t>Executive authorities are now expected to carry out the strategy in cooperation with other state institutions and local governments. That means delivery will depend on more than a presidential signature in Kyiv; it will require consistent work across Ukraine’s public administration.</w:t>
      </w:r>
      <w:r/>
    </w:p>
    <w:p>
      <w:r/>
      <w:r>
        <w:t xml:space="preserve">Local implementation will be especially important. Access to police, courts, ombudsman services and legal advice can vary considerably by region, while displaced people and residents of territories affected by war may face additional obstacles. </w:t>
      </w:r>
      <w:hyperlink r:id="rId10">
        <w:r>
          <w:rPr>
            <w:color w:val="0000EE"/>
            <w:u w:val="single"/>
          </w:rPr>
          <w:t>[4]</w:t>
        </w:r>
      </w:hyperlink>
      <w:r>
        <w:t xml:space="preserve">, </w:t>
      </w:r>
      <w:hyperlink r:id="rId14">
        <w:r>
          <w:rPr>
            <w:color w:val="0000EE"/>
            <w:u w:val="single"/>
          </w:rPr>
          <w:t>[7]</w:t>
        </w:r>
      </w:hyperlink>
      <w:r/>
    </w:p>
    <w:p>
      <w:r/>
      <w:r>
        <w:t xml:space="preserve">For LGBTQI+ people, the real test will be whether the policy improves reporting, investigation and protection in practice. Recognition is a meaningful first step, but trust is built through quieter details: a complaint taken seriously, a hate crime properly recorded or a legal adviser available when someone needs help. </w:t>
      </w:r>
      <w:hyperlink r:id="rId9">
        <w:r>
          <w:rPr>
            <w:color w:val="0000EE"/>
            <w:u w:val="single"/>
          </w:rPr>
          <w:t>[2]</w:t>
        </w:r>
      </w:hyperlink>
      <w:r>
        <w:t xml:space="preserve">, </w:t>
      </w:r>
      <w:hyperlink r:id="rId12">
        <w:r>
          <w:rPr>
            <w:color w:val="0000EE"/>
            <w:u w:val="single"/>
          </w:rPr>
          <w:t>[6]</w:t>
        </w:r>
      </w:hyperlink>
      <w:r/>
    </w:p>
    <w:p>
      <w:pPr>
        <w:pStyle w:val="Heading2"/>
      </w:pPr>
      <w:r>
        <w:t>A significant signal during a difficult period</w:t>
      </w:r>
      <w:r/>
    </w:p>
    <w:p>
      <w:r/>
      <w:r>
        <w:t>The announcement arrives during a period when Ukraine is balancing wartime pressures with the demands of institutional reform. Naming LGBTQI+ people alongside other at-risk groups sends a signal that equal protection is intended to apply even under extraordinary conditions.</w:t>
      </w:r>
      <w:r/>
    </w:p>
    <w:p>
      <w:r/>
      <w:r>
        <w:t xml:space="preserve">It also gives civil-society organisations a framework against which progress can be judged. The next chapter will involve budgets, training, enforcement and transparent reporting, which are less headline-friendly than a decree but far more important in daily life. </w:t>
      </w:r>
      <w:hyperlink r:id="rId13">
        <w:r>
          <w:rPr>
            <w:color w:val="0000EE"/>
            <w:u w:val="single"/>
          </w:rPr>
          <w:t>[3]</w:t>
        </w:r>
      </w:hyperlink>
      <w:r>
        <w:t xml:space="preserve">, </w:t>
      </w:r>
      <w:hyperlink r:id="rId11">
        <w:r>
          <w:rPr>
            <w:color w:val="0000EE"/>
            <w:u w:val="single"/>
          </w:rPr>
          <w:t>[5]</w:t>
        </w:r>
      </w:hyperlink>
      <w:r/>
    </w:p>
    <w:p>
      <w:r/>
      <w:r>
        <w:t xml:space="preserve">For many people, the value of a human rights strategy is felt in small, practical moments: being heard, treated fairly and able to seek help without fear. That’s where this policy will ultimately earn its credibility. </w:t>
      </w:r>
      <w:hyperlink r:id="rId9">
        <w:r>
          <w:rPr>
            <w:color w:val="0000EE"/>
            <w:u w:val="single"/>
          </w:rPr>
          <w:t>[2]</w:t>
        </w:r>
      </w:hyperlink>
      <w:r>
        <w:t xml:space="preserve">, </w:t>
      </w:r>
      <w:hyperlink r:id="rId14">
        <w:r>
          <w:rPr>
            <w:color w:val="0000EE"/>
            <w:u w:val="single"/>
          </w:rPr>
          <w:t>[7]</w:t>
        </w:r>
      </w:hyperlink>
      <w:r/>
    </w:p>
    <w:p>
      <w:r/>
      <w:r>
        <w:t>A stronger policy framework is now in place; the challenge is turning its promises into protection people can feel.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3">
        <w:r>
          <w:rPr>
            <w:color w:val="0000EE"/>
            <w:u w:val="single"/>
          </w:rPr>
          <w:t>[3]</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https://outragemag.com/ukraine-decree-identifies-lgbtqi-people-as-a-group-at-heightened-risk-of-rights-violations/</w:t>
        </w:r>
      </w:hyperlink>
      <w:r>
        <w:t xml:space="preserve"> - Please view link - unable to able to access data</w:t>
      </w:r>
      <w:r/>
    </w:p>
    <w:p>
      <w:pPr>
        <w:pStyle w:val="ListNumber"/>
        <w:spacing w:line="240" w:lineRule="auto"/>
        <w:ind w:left="720"/>
      </w:pPr>
      <w:r/>
      <w:hyperlink r:id="rId9">
        <w:r>
          <w:rPr>
            <w:color w:val="0000EE"/>
            <w:u w:val="single"/>
          </w:rPr>
          <w:t>https://lgbti-consortium.org.ua/en/media/zahyst-prav-lgbtik-stane-chastynoyu-natsionalnoyi-polityky-zelenskyj-pidpysav-ukaz/</w:t>
        </w:r>
      </w:hyperlink>
      <w:r>
        <w:t xml:space="preserve"> - On October 12, 2026, President Volodymyr Zelenskyy signed Decree No. 1038/2026, approving a new National Human Rights Strategy. This strategy explicitly identifies LGBTIQ+ individuals as a group at heightened risk of human rights violations, alongside other vulnerable groups such as people with disabilities and war veterans. The decree mandates the government to develop an action plan for 2027–2029, focusing on preventing discrimination, combating hate speech, and protecting the rights of LGBTIQ+ people. The strategy aligns with Ukraine's European integration efforts and aims to harmonise human rights legislation with EU standards.</w:t>
      </w:r>
      <w:r/>
    </w:p>
    <w:p>
      <w:pPr>
        <w:pStyle w:val="ListNumber"/>
        <w:spacing w:line="240" w:lineRule="auto"/>
        <w:ind w:left="720"/>
      </w:pPr>
      <w:r/>
      <w:hyperlink r:id="rId13">
        <w:r>
          <w:rPr>
            <w:color w:val="0000EE"/>
            <w:u w:val="single"/>
          </w:rPr>
          <w:t>https://mezha.net/eng/news/14f692f3_zelensky_approves_human_rights/</w:t>
        </w:r>
      </w:hyperlink>
      <w:r>
        <w:t xml:space="preserve"> - President Volodymyr Zelenskyy has approved a new National Human Rights Strategy, which identifies LGBTIQ+ individuals as facing heightened risks of discrimination and hate crimes. The strategy outlines measures to strengthen protections for LGBTIQ+ people, including legislative changes, training for law enforcement, and improved access to legal assistance. The Cabinet of Ministers is tasked with developing an implementation plan for 2027–2029 within six months. This initiative is part of Ukraine's commitment to align its human rights legislation with European standards and its European integration efforts.</w:t>
      </w:r>
      <w:r/>
    </w:p>
    <w:p>
      <w:pPr>
        <w:pStyle w:val="ListNumber"/>
        <w:spacing w:line="240" w:lineRule="auto"/>
        <w:ind w:left="720"/>
      </w:pPr>
      <w:r/>
      <w:hyperlink r:id="rId10">
        <w:r>
          <w:rPr>
            <w:color w:val="0000EE"/>
            <w:u w:val="single"/>
          </w:rPr>
          <w:t>https://thebridgemedia.com.ua/en/national-human-rights-strategy-lgbtq-protection/</w:t>
        </w:r>
      </w:hyperlink>
      <w:r>
        <w:t xml:space="preserve"> - The National Human Rights Strategy approved by President Volodymyr Zelenskyy includes specific measures to protect LGBTIQ+ individuals from discrimination, hate speech, and hate crimes. The strategy sets out an operational objective to prevent and combat discrimination and intolerance, ensuring respect for LGBTIQ+ rights. It also addresses challenges such as limited awareness of protection mechanisms and distrust of state bodies. The Cabinet of Ministers is required to develop an implementation plan for 2027–2029 within six months, involving various stakeholders, including government agencies and civil society organisations.</w:t>
      </w:r>
      <w:r/>
    </w:p>
    <w:p>
      <w:pPr>
        <w:pStyle w:val="ListNumber"/>
        <w:spacing w:line="240" w:lineRule="auto"/>
        <w:ind w:left="720"/>
      </w:pPr>
      <w:r/>
      <w:hyperlink r:id="rId11">
        <w:r>
          <w:rPr>
            <w:color w:val="0000EE"/>
            <w:u w:val="single"/>
          </w:rPr>
          <w:t>https://prm.ua/en/ukraine-will-strengthen-protection-of-lgbt-rights-zelensky-signs-decree/</w:t>
        </w:r>
      </w:hyperlink>
      <w:r>
        <w:t xml:space="preserve"> - President Volodymyr Zelenskyy has signed Decree No. 1038/2026, approving a new National Human Rights Strategy that strengthens the protection of LGBTIQ+ rights and combats discrimination. The strategy identifies LGBTIQ+ individuals as groups at increased risk of rights violations and outlines measures to address discrimination, hate speech, and hate crimes. It also emphasises the need for clearer legislation on sexual orientation, gender identity, gender expression, and sex characteristics. The Cabinet of Ministers is tasked with developing an operational plan for 2027–2029 within six months.</w:t>
      </w:r>
      <w:r/>
    </w:p>
    <w:p>
      <w:pPr>
        <w:pStyle w:val="ListNumber"/>
        <w:spacing w:line="240" w:lineRule="auto"/>
        <w:ind w:left="720"/>
      </w:pPr>
      <w:r/>
      <w:hyperlink r:id="rId12">
        <w:r>
          <w:rPr>
            <w:color w:val="0000EE"/>
            <w:u w:val="single"/>
          </w:rPr>
          <w:t>https://antikor.ua/en/articles/869447-zelenskij_utverdil_novuju_strategiju_po_pravam_cheloveka_dokument_predusmatrivaet_zashchitu_prav_lgbtk_i_protivodejstvie_diskriminatsii</w:t>
        </w:r>
      </w:hyperlink>
      <w:r>
        <w:t xml:space="preserve"> - President Volodymyr Zelenskyy has approved a new National Human Rights Strategy, which includes provisions for the protection of LGBTIQ+ rights and combating discrimination. The strategy identifies LGBTIQ+ individuals as groups at heightened risk of rights violations and outlines measures to address discrimination, hate speech, and hate crimes. It also emphasises the need for clearer legislation on sexual orientation, gender identity, gender expression, and sex characteristics. The Cabinet of Ministers is tasked with developing an operational plan for 2027–2029 within six months.</w:t>
      </w:r>
      <w:r/>
    </w:p>
    <w:p>
      <w:pPr>
        <w:pStyle w:val="ListNumber"/>
        <w:spacing w:line="240" w:lineRule="auto"/>
        <w:ind w:left="720"/>
      </w:pPr>
      <w:r/>
      <w:hyperlink r:id="rId14">
        <w:r>
          <w:rPr>
            <w:color w:val="0000EE"/>
            <w:u w:val="single"/>
          </w:rPr>
          <w:t>https://korabelov.info/en/2026/10/626497/lgbtq-rights-in-the-national-strategy-what-ukraine-plans-to-change/</w:t>
        </w:r>
      </w:hyperlink>
      <w:r>
        <w:t xml:space="preserve"> - President Volodymyr Zelenskyy has approved a new National Human Rights Strategy that strengthens protections for LGBTIQ+ individuals. The strategy identifies LGBTIQ+ people as facing heightened risks of discrimination and hate crimes and outlines measures to address these issues. It also emphasises the need for clearer legislation on sexual orientation, gender identity, gender expression, and sex characteristics. The Cabinet of Ministers is tasked with developing an implementation plan for 2027–2029 within six months, involving various stakeholders, including government agencies and civil society organisations.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i-consortium.org.ua/en/media/zahyst-prav-lgbtik-stane-chastynoyu-natsionalnoyi-polityky-zelenskyj-pidpysav-ukaz/" TargetMode="External"/><Relationship Id="rId10" Type="http://schemas.openxmlformats.org/officeDocument/2006/relationships/hyperlink" Target="https://thebridgemedia.com.ua/en/national-human-rights-strategy-lgbtq-protection/" TargetMode="External"/><Relationship Id="rId11" Type="http://schemas.openxmlformats.org/officeDocument/2006/relationships/hyperlink" Target="https://prm.ua/en/ukraine-will-strengthen-protection-of-lgbt-rights-zelensky-signs-decree/" TargetMode="External"/><Relationship Id="rId12" Type="http://schemas.openxmlformats.org/officeDocument/2006/relationships/hyperlink" Target="https://antikor.ua/en/articles/869447-zelenskij_utverdil_novuju_strategiju_po_pravam_cheloveka_dokument_predusmatrivaet_zashchitu_prav_lgbtk_i_protivodejstvie_diskriminatsii" TargetMode="External"/><Relationship Id="rId13" Type="http://schemas.openxmlformats.org/officeDocument/2006/relationships/hyperlink" Target="https://mezha.net/eng/news/14f692f3_zelensky_approves_human_rights/" TargetMode="External"/><Relationship Id="rId14" Type="http://schemas.openxmlformats.org/officeDocument/2006/relationships/hyperlink" Target="https://korabelov.info/en/2026/10/626497/lgbtq-rights-in-the-national-strategy-what-ukraine-plans-to-change/" TargetMode="External"/><Relationship Id="rId15" Type="http://schemas.openxmlformats.org/officeDocument/2006/relationships/hyperlink" Target="https://outragemag.com/ukraine-decree-identifies-lgbtqi-people-as-a-group-at-heightened-risk-of-rights-viol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