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Weekly Social Media Roundup: Democracy, AI and Power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taken on a brisk tour of the week’s biggest arguments, from Columbus and colonial religion to Meta’s uneven moderation, workplace sexism, interest rates and the defence of democracy. Alongside quotes and cultural history, the roundup asks a sharper question: who benefits when powerful institutions set the rules, and who gets ignored?</w:t>
      </w:r>
      <w:r/>
    </w:p>
    <w:p>
      <w:pPr>
        <w:pStyle w:val="Heading2"/>
      </w:pPr>
      <w:r>
        <w:t>A week built around power and accountability</w:t>
      </w:r>
      <w:r/>
    </w:p>
    <w:p>
      <w:r/>
      <w:r>
        <w:t>The strongest thread running through this weekly social media roundup is a familiar but important one: institutions often claim neutrality while protecting existing power. The selected posts move from historical conquest to modern platforms, workplaces and elections, but the concern stays remarkably consistent. Who gets believed, protected or rewarded?</w:t>
      </w:r>
      <w:r/>
    </w:p>
    <w:p>
      <w:r/>
      <w:r>
        <w:t xml:space="preserve">The opening discussion of Christopher Columbus is especially stark. The Conversation’s account of his writings shows how religious ideas could be woven into conquest, giving violence a grander purpose and helping an ambitious explorer present himself as part of a divine historical mission. That’s a useful reminder that ideology doesn’t merely follow power. It can help power explain itself. </w:t>
      </w:r>
      <w:hyperlink r:id="rId9">
        <w:r>
          <w:rPr>
            <w:color w:val="0000EE"/>
            <w:u w:val="single"/>
          </w:rPr>
          <w:t>[2]</w:t>
        </w:r>
      </w:hyperlink>
      <w:r/>
    </w:p>
    <w:p>
      <w:r/>
      <w:r>
        <w:t>The roundup also makes room for short quotations, including lines from Lima Barreto, Luis Gama and Carlos Chagas. They act like small pauses between the heavier arguments, adding literary, political and scientific voices without softening the wider mood.</w:t>
      </w:r>
      <w:r/>
    </w:p>
    <w:p>
      <w:pPr>
        <w:pStyle w:val="Heading2"/>
      </w:pPr>
      <w:r>
        <w:t>Meta’s moderation choices face renewed scrutiny</w:t>
      </w:r>
      <w:r/>
    </w:p>
    <w:p>
      <w:r/>
      <w:r>
        <w:t xml:space="preserve">One of the week’s most pointed entries examines claims that Meta has removed gay bars from its apps while failing to deal adequately with far more disturbing material. The contrast is hard to miss: content associated with LGBTQ communities can attract swift restrictions, while harmful or abusive material appears to remain unevenly handled. </w:t>
      </w:r>
      <w:hyperlink r:id="rId10">
        <w:r>
          <w:rPr>
            <w:color w:val="0000EE"/>
            <w:u w:val="single"/>
          </w:rPr>
          <w:t>[3]</w:t>
        </w:r>
      </w:hyperlink>
      <w:r/>
    </w:p>
    <w:p>
      <w:r/>
      <w:r>
        <w:t>That matters beyond any single account or venue. Social platforms are not passive noticeboards. Their decisions shape who can advertise, organise, find customers and build a public presence. When moderation rules are applied inconsistently, marginalised communities can end up paying the social and commercial price.</w:t>
      </w:r>
      <w:r/>
    </w:p>
    <w:p>
      <w:r/>
      <w:r>
        <w:t>The commentary attached to the roundup takes a deliberately sceptical view of engagement-driven business models. It argues that outrage and abuse can keep people scrolling, even as the people most exposed to harassment are left to absorb the damage. Whether or not every platform decision fits that explanation, the broader question is unavoidable: what does a company really prioritise when safety conflicts with attention?</w:t>
      </w:r>
      <w:r/>
    </w:p>
    <w:p>
      <w:pPr>
        <w:pStyle w:val="Heading2"/>
      </w:pPr>
      <w:r>
        <w:t>Interest rates are not just about inflation</w:t>
      </w:r>
      <w:r/>
    </w:p>
    <w:p>
      <w:r/>
      <w:r>
        <w:t xml:space="preserve">The discussion of central banks turns towards labour, challenging the tidy story that higher interest rates are simply a technical response to rising prices. Jacobin’s argument is that rate increases can also weaken workers by reducing investment, slowing recruitment and making employers less anxious about losing staff. </w:t>
      </w:r>
      <w:hyperlink r:id="rId11">
        <w:r>
          <w:rPr>
            <w:color w:val="0000EE"/>
            <w:u w:val="single"/>
          </w:rPr>
          <w:t>[4]</w:t>
        </w:r>
      </w:hyperlink>
      <w:r/>
    </w:p>
    <w:p>
      <w:r/>
      <w:r>
        <w:t>That’s a crucial distinction for anyone watching wages, job security or household budgets. A cooler labour market may be described as economic stability from the boardroom, but it can feel very different at home, particularly for people already negotiating rent, food and energy costs.</w:t>
      </w:r>
      <w:r/>
    </w:p>
    <w:p>
      <w:r/>
      <w:r>
        <w:t>The roundup places this alongside other technologies and crises that can shift bargaining power away from workers. It’s a pointed observation, if a gloomy one. Economic policy can sound abstract until it reaches a payslip, a cancelled vacancy or a conversation about whether to ask for a raise.</w:t>
      </w:r>
      <w:r/>
    </w:p>
    <w:p>
      <w:pPr>
        <w:pStyle w:val="Heading2"/>
      </w:pPr>
      <w:r>
        <w:t>Why workplace “masculine energy” can become expensive</w:t>
      </w:r>
      <w:r/>
    </w:p>
    <w:p>
      <w:r/>
      <w:r>
        <w:t xml:space="preserve">Fast Company’s report on so-called masculine energy at work adds a more everyday dimension to the same debate. The article argues that companies can overvalue confidence, dominance and self-promotion while overlooking the quieter work that keeps teams functioning, including mentoring, organising and resolving conflict. </w:t>
      </w:r>
      <w:hyperlink r:id="rId12">
        <w:r>
          <w:rPr>
            <w:color w:val="0000EE"/>
            <w:u w:val="single"/>
          </w:rPr>
          <w:t>[5]</w:t>
        </w:r>
      </w:hyperlink>
      <w:r/>
    </w:p>
    <w:p>
      <w:r/>
      <w:r>
        <w:t>That invisible labour is often treated as a personality trait rather than a contribution. Yet without it, meetings become more brittle, new staff receive less support and disagreements linger. The costs may not appear on a single invoice, but they can surface through staff turnover, poor collaboration and exhausted employees.</w:t>
      </w:r>
      <w:r/>
    </w:p>
    <w:p>
      <w:r/>
      <w:r>
        <w:t>The roundup also links this issue to artificial intelligence. Tools may imitate certain visible tasks, but they’re much less convincing at the patient, relational work that depends on context and trust. It’s a neat test for inflated automation claims: if a job’s most valuable work happens between the lines, a chatbot may not be the clever replacement its marketing suggests.</w:t>
      </w:r>
      <w:r/>
    </w:p>
    <w:p>
      <w:pPr>
        <w:pStyle w:val="Heading2"/>
      </w:pPr>
      <w:r>
        <w:t>Democracy needs more than a ballot box</w:t>
      </w:r>
      <w:r/>
    </w:p>
    <w:p>
      <w:r/>
      <w:r>
        <w:t xml:space="preserve">The election entry offers perhaps the clearest call to action. OtherWords argues that democracy works best when voters can participate fully, election workers can operate without political interference and citizens believe their voices matter. </w:t>
      </w:r>
      <w:hyperlink r:id="rId13">
        <w:r>
          <w:rPr>
            <w:color w:val="0000EE"/>
            <w:u w:val="single"/>
          </w:rPr>
          <w:t>[6]</w:t>
        </w:r>
      </w:hyperlink>
      <w:r/>
    </w:p>
    <w:p>
      <w:r/>
      <w:r>
        <w:t>That’s broader than voting every few years. A functioning democracy also depends on local organising, public scrutiny, journalism, community groups and pressure between elections. Treating politics as something that happens only at the ballot box leaves a great deal of room for wealthy interests and organised campaigns to set the agenda.</w:t>
      </w:r>
      <w:r/>
    </w:p>
    <w:p>
      <w:r/>
      <w:r>
        <w:t>The roundup’s wider collection of links reinforces that concern. Historical accounts of state pressure, institutions failing survivors and public narratives being shaped by official power all point towards the same lesson: participation is not a spectator sport. It’s often inconvenient, slow and unglamorous, but that’s where accountability tends to live.</w:t>
      </w:r>
      <w:r/>
    </w:p>
    <w:p>
      <w:pPr>
        <w:pStyle w:val="Heading2"/>
      </w:pPr>
      <w:r>
        <w:t>The AI debate is increasingly about trust</w:t>
      </w:r>
      <w:r/>
    </w:p>
    <w:p>
      <w:r/>
      <w:r>
        <w:t xml:space="preserve">The additional discussion of OpenAI’s relationship with mathematicians shifts the focus from what AI systems can produce to how their claims are presented. WIRED reports frustration that some AI companies announce results through corporate posts rather than fully detailed scientific papers, making independent verification harder and potentially obscuring earlier work. </w:t>
      </w:r>
      <w:hyperlink r:id="rId14">
        <w:r>
          <w:rPr>
            <w:color w:val="0000EE"/>
            <w:u w:val="single"/>
          </w:rPr>
          <w:t>[7]</w:t>
        </w:r>
      </w:hyperlink>
      <w:r/>
    </w:p>
    <w:p>
      <w:r/>
      <w:r>
        <w:t>That concern reaches well beyond mathematics. A result that can’t be checked easily is difficult to distinguish from a clever publicity exercise. For readers, developers and researchers, transparency isn’t a decorative extra. It’s the difference between a breakthrough that can be built upon and a claim that simply asks to be believed.</w:t>
      </w:r>
      <w:r/>
    </w:p>
    <w:p>
      <w:r/>
      <w:r>
        <w:t>There’s also a practical warning for anyone relying on AI-generated code or analysis. Impressive demonstrations don’t prove reliability, and removing information about how work was produced makes later evaluation more difficult. The best habit remains a slightly unfashionable one: check the evidence, ask who benefits and resist treating confidence as proof.</w:t>
      </w:r>
      <w:r/>
    </w:p>
    <w:p>
      <w:r/>
      <w:r>
        <w:t>The week’s roundup ends up feeling less like a list of links than a map of recurring pressures. Institutions want trust, attention and authority, but the public still needs ways to test whether those things have been earned.</w:t>
      </w:r>
      <w:r/>
    </w:p>
    <w:p>
      <w:r/>
      <w:r>
        <w:t>It's a small but useful reminder that staying informed means following the incentives behind the story, not just the story itself.</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1">
        <w:r>
          <w:rPr>
            <w:color w:val="0000EE"/>
            <w:u w:val="single"/>
          </w:rPr>
          <w:t>[4]</w:t>
        </w:r>
      </w:hyperlink>
      <w:r>
        <w:t xml:space="preserve">- Paragraph 6: </w:t>
      </w:r>
      <w:hyperlink r:id="rId12">
        <w:r>
          <w:rPr>
            <w:color w:val="0000EE"/>
            <w:u w:val="single"/>
          </w:rPr>
          <w:t>[5]</w:t>
        </w:r>
      </w:hyperlink>
      <w:r>
        <w:t xml:space="preserve">- Paragraph 7: </w:t>
      </w:r>
      <w:hyperlink r:id="rId12">
        <w:r>
          <w:rPr>
            <w:color w:val="0000EE"/>
            <w:u w:val="single"/>
          </w:rPr>
          <w:t>[5]</w:t>
        </w:r>
      </w:hyperlink>
      <w:r>
        <w:t xml:space="preserve">- Paragraph 8: </w:t>
      </w:r>
      <w:hyperlink r:id="rId13">
        <w:r>
          <w:rPr>
            <w:color w:val="0000EE"/>
            <w:u w:val="single"/>
          </w:rPr>
          <w:t>[6]</w:t>
        </w:r>
      </w:hyperlink>
      <w:r>
        <w:t xml:space="preserve">- Paragraph 9: </w:t>
      </w:r>
      <w:hyperlink r:id="rId13">
        <w:r>
          <w:rPr>
            <w:color w:val="0000EE"/>
            <w:u w:val="single"/>
          </w:rPr>
          <w:t>[6]</w:t>
        </w:r>
      </w:hyperlink>
      <w:r>
        <w:t xml:space="preserve">- Paragraph 10: </w:t>
      </w:r>
      <w:hyperlink r:id="rId14">
        <w:r>
          <w:rPr>
            <w:color w:val="0000EE"/>
            <w:u w:val="single"/>
          </w:rPr>
          <w:t>[7]</w:t>
        </w:r>
      </w:hyperlink>
      <w:r>
        <w:t xml:space="preserve">- Paragraph 11: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https://john.colagioia.net/blog/2026/10/16/week.html</w:t>
        </w:r>
      </w:hyperlink>
      <w:r>
        <w:t xml:space="preserve"> - Please view link - unable to able to access data</w:t>
      </w:r>
      <w:r/>
    </w:p>
    <w:p>
      <w:pPr>
        <w:pStyle w:val="ListNumber"/>
        <w:spacing w:line="240" w:lineRule="auto"/>
        <w:ind w:left="720"/>
      </w:pPr>
      <w:r/>
      <w:hyperlink r:id="rId9">
        <w:r>
          <w:rPr>
            <w:color w:val="0000EE"/>
            <w:u w:val="single"/>
          </w:rPr>
          <w:t>https://theconversation.com/columbus-own-writings-reveal-how-tightly-religion-and-conquest-were-intertwined-from-the-start-123456</w:t>
        </w:r>
      </w:hyperlink>
      <w:r>
        <w:t xml:space="preserve"> - An article from The Conversation discusses how Christopher Columbus's writings reveal the deep intertwining of religion and conquest from the beginning. It highlights Columbus's efforts to regain favor with his patrons, particularly Queen Isabella, by immersing himself in church history and theology, studying scriptures, and the works of theologians like St. Augustine and Pierre d'Ailly. The piece also touches upon Columbus's self-perception as a prophet and his belief that his voyages initiated the End Times.</w:t>
      </w:r>
      <w:r/>
    </w:p>
    <w:p>
      <w:pPr>
        <w:pStyle w:val="ListNumber"/>
        <w:spacing w:line="240" w:lineRule="auto"/>
        <w:ind w:left="720"/>
      </w:pPr>
      <w:r/>
      <w:hyperlink r:id="rId10">
        <w:r>
          <w:rPr>
            <w:color w:val="0000EE"/>
            <w:u w:val="single"/>
          </w:rPr>
          <w:t>https://futurism.com/meta-kicking-gay-bars-off-apps-allowing-graphic-child-abuse</w:t>
        </w:r>
      </w:hyperlink>
      <w:r>
        <w:t xml:space="preserve"> - A Futurism article reports that in January 2025, following President Donald Trump's second inauguration, Meta (formerly Facebook) removed hate speech rules protecting the LGBTQ community, increasing their vulnerability. The piece highlights instances where Meta censored gay bars' social media accounts while allowing graphic content, suggesting that the platform's policies may prioritize engagement over user safety.</w:t>
      </w:r>
      <w:r/>
    </w:p>
    <w:p>
      <w:pPr>
        <w:pStyle w:val="ListNumber"/>
        <w:spacing w:line="240" w:lineRule="auto"/>
        <w:ind w:left="720"/>
      </w:pPr>
      <w:r/>
      <w:hyperlink r:id="rId11">
        <w:r>
          <w:rPr>
            <w:color w:val="0000EE"/>
            <w:u w:val="single"/>
          </w:rPr>
          <w:t>https://jacobin.com/interest-rate-increases-are-about-disciplining-labor</w:t>
        </w:r>
      </w:hyperlink>
      <w:r>
        <w:t xml:space="preserve"> - An article from Jacobin examines how interest rate increases are used to discipline labor. It argues that reducing investment leads to decreased hiring, job losses, and weakened bargaining power for workers, resulting in lower wages or slower wage growth. The piece suggests that such economic policies disproportionately affect workers and benefit capital owners.</w:t>
      </w:r>
      <w:r/>
    </w:p>
    <w:p>
      <w:pPr>
        <w:pStyle w:val="ListNumber"/>
        <w:spacing w:line="240" w:lineRule="auto"/>
        <w:ind w:left="720"/>
      </w:pPr>
      <w:r/>
      <w:hyperlink r:id="rId12">
        <w:r>
          <w:rPr>
            <w:color w:val="0000EE"/>
            <w:u w:val="single"/>
          </w:rPr>
          <w:t>https://fastcompany.com/masculine-energy-costing-companies-billions</w:t>
        </w:r>
      </w:hyperlink>
      <w:r>
        <w:t xml:space="preserve"> - A Fast Company article discusses how 'masculine energy' is costing companies billions. It highlights that tasks like mentoring and conflict resolution, which are often associated with feminine qualities, are undervalued and unrewarded, while self-promotion is rewarded as leadership. The piece argues that companies that build their culture on dominance will eventually face significant costs.</w:t>
      </w:r>
      <w:r/>
    </w:p>
    <w:p>
      <w:pPr>
        <w:pStyle w:val="ListNumber"/>
        <w:spacing w:line="240" w:lineRule="auto"/>
        <w:ind w:left="720"/>
      </w:pPr>
      <w:r/>
      <w:hyperlink r:id="rId13">
        <w:r>
          <w:rPr>
            <w:color w:val="0000EE"/>
            <w:u w:val="single"/>
          </w:rPr>
          <w:t>https://otherwords.org/democracy-works-when-we-defend-it</w:t>
        </w:r>
      </w:hyperlink>
      <w:r>
        <w:t xml:space="preserve"> - An article from OtherWords emphasizes that democracy is strongest when voters can fully participate and election officials can perform their duties free from political interference. It argues that the future is strongest when Americans believe their voices matter, and warns against right-wing propaganda campaigns that aim to disengage citizens from politics.</w:t>
      </w:r>
      <w:r/>
    </w:p>
    <w:p>
      <w:pPr>
        <w:pStyle w:val="ListNumber"/>
        <w:spacing w:line="240" w:lineRule="auto"/>
        <w:ind w:left="720"/>
      </w:pPr>
      <w:r/>
      <w:hyperlink r:id="rId14">
        <w:r>
          <w:rPr>
            <w:color w:val="0000EE"/>
            <w:u w:val="single"/>
          </w:rPr>
          <w:t>https://wired.com/openai-pissing-off-mathematicians-again</w:t>
        </w:r>
      </w:hyperlink>
      <w:r>
        <w:t xml:space="preserve"> - A WIRED article reports that OpenAI and Anthropic have been releasing results through blog posts rather than scientific papers, making verification harder and often excluding prior work from other mathematicians. The piece highlights frustrations within the mathematical community regarding this approach and raises concerns about the transparency and credibility of AI research.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conversation.com/columbus-own-writings-reveal-how-tightly-religion-and-conquest-were-intertwined-from-the-start-123456" TargetMode="External"/><Relationship Id="rId10" Type="http://schemas.openxmlformats.org/officeDocument/2006/relationships/hyperlink" Target="https://futurism.com/meta-kicking-gay-bars-off-apps-allowing-graphic-child-abuse" TargetMode="External"/><Relationship Id="rId11" Type="http://schemas.openxmlformats.org/officeDocument/2006/relationships/hyperlink" Target="https://jacobin.com/interest-rate-increases-are-about-disciplining-labor" TargetMode="External"/><Relationship Id="rId12" Type="http://schemas.openxmlformats.org/officeDocument/2006/relationships/hyperlink" Target="https://fastcompany.com/masculine-energy-costing-companies-billions" TargetMode="External"/><Relationship Id="rId13" Type="http://schemas.openxmlformats.org/officeDocument/2006/relationships/hyperlink" Target="https://otherwords.org/democracy-works-when-we-defend-it" TargetMode="External"/><Relationship Id="rId14" Type="http://schemas.openxmlformats.org/officeDocument/2006/relationships/hyperlink" Target="https://wired.com/openai-pissing-off-mathematicians-again" TargetMode="External"/><Relationship Id="rId15" Type="http://schemas.openxmlformats.org/officeDocument/2006/relationships/hyperlink" Target="https://john.colagioia.net/blog/2026/10/16/week.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