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 New LGBTQ+ Movement Strategy Beyond Electoral Politics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advocates are confronting a harsher political climate, shrinking funding and growing attacks on trans rights, prompting calls for a more connected, resilient movement. The emerging strategy puts community networks, economic power, safety and long-term infrastructure alongside elections, rather than treating politics as the only route to progress.</w:t>
      </w:r>
      <w:r/>
    </w:p>
    <w:p>
      <w:pPr>
        <w:pStyle w:val="Heading2"/>
      </w:pPr>
      <w:r>
        <w:t>Essential Takeaways</w:t>
      </w:r>
      <w:r/>
      <w:r/>
    </w:p>
    <w:p>
      <w:pPr>
        <w:pStyle w:val="ListBullet"/>
        <w:spacing w:line="240" w:lineRule="auto"/>
        <w:ind w:left="720"/>
      </w:pPr>
      <w:r/>
      <w:r>
        <w:rPr>
          <w:b/>
        </w:rPr>
        <w:t>Political pressure is rising:</w:t>
      </w:r>
      <w:r>
        <w:t xml:space="preserve"> Proposed US policies and budget decisions could weaken LGBTQ+ protections and services.</w:t>
      </w:r>
      <w:r/>
    </w:p>
    <w:p>
      <w:pPr>
        <w:pStyle w:val="ListBullet"/>
        <w:spacing w:line="240" w:lineRule="auto"/>
        <w:ind w:left="720"/>
      </w:pPr>
      <w:r/>
      <w:r>
        <w:rPr>
          <w:b/>
        </w:rPr>
        <w:t>Funding is under strain:</w:t>
      </w:r>
      <w:r>
        <w:t xml:space="preserve"> Advocacy groups worldwide are reporting financial damage linked to political pressure and reduced support.</w:t>
      </w:r>
      <w:r/>
    </w:p>
    <w:p>
      <w:pPr>
        <w:pStyle w:val="ListBullet"/>
        <w:spacing w:line="240" w:lineRule="auto"/>
        <w:ind w:left="720"/>
      </w:pPr>
      <w:r/>
      <w:r>
        <w:rPr>
          <w:b/>
        </w:rPr>
        <w:t>Community infrastructure matters:</w:t>
      </w:r>
      <w:r>
        <w:t xml:space="preserve"> Stronger links between people, charities, businesses and allies could make the movement less vulnerable.</w:t>
      </w:r>
      <w:r/>
    </w:p>
    <w:p>
      <w:pPr>
        <w:pStyle w:val="ListBullet"/>
        <w:spacing w:line="240" w:lineRule="auto"/>
        <w:ind w:left="720"/>
      </w:pPr>
      <w:r/>
      <w:r>
        <w:rPr>
          <w:b/>
        </w:rPr>
        <w:t>Economic influence is significant:</w:t>
      </w:r>
      <w:r>
        <w:t xml:space="preserve"> LGBTQ+ consumers and supportive allies can direct spending towards welcoming organisations.</w:t>
      </w:r>
      <w:r/>
    </w:p>
    <w:p>
      <w:pPr>
        <w:pStyle w:val="ListBullet"/>
        <w:spacing w:line="240" w:lineRule="auto"/>
        <w:ind w:left="720"/>
      </w:pPr>
      <w:r/>
      <w:r>
        <w:rPr>
          <w:b/>
        </w:rPr>
        <w:t>Trans people face particular risk:</w:t>
      </w:r>
      <w:r>
        <w:t xml:space="preserve"> Recent policy changes have created knock-on effects across healthcare, safety and civil rights.</w:t>
      </w:r>
      <w:r/>
      <w:r/>
    </w:p>
    <w:p>
      <w:pPr>
        <w:pStyle w:val="Heading2"/>
      </w:pPr>
      <w:r>
        <w:t>Politics alone can't carry the movement</w:t>
      </w:r>
      <w:r/>
    </w:p>
    <w:p>
      <w:r/>
      <w:r>
        <w:t>The sharpest lesson from the current climate is also the least comfortable: electoral victories don't automatically produce secure, everyday lives. A supportive politician may help defend a law, but that doesn't guarantee a trans person can find affirming healthcare, a young queer person can locate safe housing, or an LGBTQ+ worker can rely on a stable income.</w:t>
      </w:r>
      <w:r/>
    </w:p>
    <w:p>
      <w:r/>
      <w:r>
        <w:t>Recent warnings from the Human Rights Campaign about proposed federal budget changes show how quickly protections and public services can become political bargaining chips. The headlines may focus on Washington, but the consequences are often felt in clinics, schools, workplaces and local support centres.</w:t>
      </w:r>
      <w:r/>
    </w:p>
    <w:p>
      <w:r/>
      <w:r>
        <w:t>That doesn't make elections unimportant. It means politics needs backup. A movement that relies on office-holders alone is vulnerable whenever the governing party changes direction.</w:t>
      </w:r>
      <w:r/>
    </w:p>
    <w:p>
      <w:pPr>
        <w:pStyle w:val="Heading2"/>
      </w:pPr>
      <w:r>
        <w:t>Anti-trans policy has consequences far beyond one community</w:t>
      </w:r>
      <w:r/>
    </w:p>
    <w:p>
      <w:r/>
      <w:r>
        <w:t>Trans people are frequently used as the front line in wider culture wars, but the effects of anti-trans policymaking spread much further. Restrictions can affect medical professionals, schools, families, charities and employers, creating uncertainty even where a particular rule doesn't directly apply.</w:t>
      </w:r>
      <w:r/>
    </w:p>
    <w:p>
      <w:r/>
      <w:r>
        <w:t>Human Rights Watch has highlighted the broader collateral damage of these policies, while the American Bar Association has described a dramatic reversal in transgender rights. Together, those assessments point to a pattern rather than a handful of isolated disputes: legal progress can be narrowed, challenged or undone with remarkable speed.</w:t>
      </w:r>
      <w:r/>
    </w:p>
    <w:p>
      <w:r/>
      <w:r>
        <w:t>For families and service providers, the practical advice is simple but difficult. Keep records, understand local protections, seek specialist legal or health guidance, and build trusted support networks before a crisis arrives. Nobody should have to become an expert in emergency planning just to live openly, but these are increasingly useful safeguards.</w:t>
      </w:r>
      <w:r/>
    </w:p>
    <w:p>
      <w:pPr>
        <w:pStyle w:val="Heading2"/>
      </w:pPr>
      <w:r>
        <w:t>The funding model is showing its cracks</w:t>
      </w:r>
      <w:r/>
    </w:p>
    <w:p>
      <w:r/>
      <w:r>
        <w:t>Charities have also discovered that visibility can become a liability when corporate and philanthropic support retreats. LGBTQ+ organisations often provide practical help that governments don't offer, from helplines and housing advice to emergency grants and specialist healthcare referrals.</w:t>
      </w:r>
      <w:r/>
    </w:p>
    <w:p>
      <w:r/>
      <w:r>
        <w:t>Reporting by LGBTQ Nation suggests that nine in ten LGBTQ+ groups worldwide have experienced financial harm connected to cuts and political influence. That pressure is especially troubling because smaller organisations tend to be closest to the people most likely to fall through official safety nets.</w:t>
      </w:r>
      <w:r/>
    </w:p>
    <w:p>
      <w:r/>
      <w:r>
        <w:t>The answer isn't simply to ask the same donors for more money. Groups may need shared services, better data, joint campaigning and stronger individual-giving networks. Collaboration sounds less glamorous than a major announcement, but it can keep more cash focused on people rather than duplicated administration.</w:t>
      </w:r>
      <w:r/>
    </w:p>
    <w:p>
      <w:pPr>
        <w:pStyle w:val="Heading2"/>
      </w:pPr>
      <w:r>
        <w:t>Community, commerce and care belong together</w:t>
      </w:r>
      <w:r/>
    </w:p>
    <w:p>
      <w:r/>
      <w:r>
        <w:t>A more durable strategy would connect political organising with daily life. That could mean directing spending towards supportive businesses, creating reliable community spaces, linking younger and older LGBTQ+ people, and making culturally competent healthcare easier to find.</w:t>
      </w:r>
      <w:r/>
    </w:p>
    <w:p>
      <w:r/>
      <w:r>
        <w:t>There is real potential in that approach. LGBTQ+ consumers and their allies represent substantial economic influence, but spending only becomes leverage when it is deliberate. A welcoming restaurant, independent shop or healthcare provider can become more than a place to spend money. It can be a small, visible piece of local safety.</w:t>
      </w:r>
      <w:r/>
    </w:p>
    <w:p>
      <w:r/>
      <w:r>
        <w:t>Digital directories and community apps may help, particularly for people who live in areas with few physical LGBTQ+ venues. But privacy has to come first. Any platform handling sensitive identity information should explain what it collects, minimise data retention and make security understandable rather than burying it in tiny print.</w:t>
      </w:r>
      <w:r/>
    </w:p>
    <w:p>
      <w:pPr>
        <w:pStyle w:val="Heading2"/>
      </w:pPr>
      <w:r>
        <w:t>A resilient movement needs more than visibility</w:t>
      </w:r>
      <w:r/>
    </w:p>
    <w:p>
      <w:r/>
      <w:r>
        <w:t>Visibility can bring recognition, pride and political momentum, but it can also expose people to harassment and violence. OutRight International's work on the global pressure facing LGBTQ+ communities reinforces the need to think about safety and resilience alongside public representation.</w:t>
      </w:r>
      <w:r/>
    </w:p>
    <w:p>
      <w:r/>
      <w:r>
        <w:t>That shift doesn't mean retreating from public life or asking queer people to become invisible. It means measuring success by more than who appears in an advert or how many rainbow flags go up in June. Are people safer? Can they access care? Do they have somewhere to turn when work, housing or family support collapses?</w:t>
      </w:r>
      <w:r/>
    </w:p>
    <w:p>
      <w:r/>
      <w:r>
        <w:t>The next phase of LGBTQ+ organising may therefore look less like one grand campaign and more like a connected network of practical systems. Politics will remain one tool, but community relationships, targeted spending, mutual aid and durable funding could provide the stronger foundation. In difficult times, that kind of patient work may be exactly what keeps progress from washing away.</w:t>
      </w:r>
      <w:r/>
    </w:p>
    <w:p>
      <w:r/>
      <w:r>
        <w:t>It's a small change in emphasis, but a major upgrade in resilience.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4">
        <w:r>
          <w:rPr>
            <w:color w:val="0000EE"/>
            <w:u w:val="single"/>
          </w:rPr>
          <w:t>[4]</w:t>
        </w:r>
      </w:hyperlink>
      <w:r>
        <w:t xml:space="preserve">, </w:t>
      </w:r>
      <w:hyperlink r:id="rId15">
        <w:r>
          <w:rPr>
            <w:color w:val="0000EE"/>
            <w:u w:val="single"/>
          </w:rPr>
          <w:t>[5]</w:t>
        </w:r>
      </w:hyperlink>
      <w:r>
        <w:t xml:space="preserve">- Paragraph 4: </w:t>
      </w:r>
      <w:hyperlink r:id="rId10">
        <w:r>
          <w:rPr>
            <w:color w:val="0000EE"/>
            <w:u w:val="single"/>
          </w:rPr>
          <w:t>[2]</w:t>
        </w:r>
      </w:hyperlink>
      <w:r>
        <w:t xml:space="preserve">, </w:t>
      </w:r>
      <w:hyperlink r:id="rId14">
        <w:r>
          <w:rPr>
            <w:color w:val="0000EE"/>
            <w:u w:val="single"/>
          </w:rPr>
          <w:t>[4]</w:t>
        </w:r>
      </w:hyperlink>
      <w:r>
        <w:t xml:space="preserve">- Paragraph 5: </w:t>
      </w:r>
      <w:hyperlink r:id="rId15">
        <w:r>
          <w:rPr>
            <w:color w:val="0000EE"/>
            <w:u w:val="single"/>
          </w:rPr>
          <w:t>[5]</w:t>
        </w:r>
      </w:hyperlink>
      <w:r>
        <w:t xml:space="preserve">, </w:t>
      </w:r>
      <w:hyperlink r:id="rId12">
        <w:r>
          <w:rPr>
            <w:color w:val="0000EE"/>
            <w:u w:val="single"/>
          </w:rPr>
          <w:t>[6]</w:t>
        </w:r>
      </w:hyperlink>
      <w:r>
        <w:t xml:space="preserve">- Paragraph 6: </w:t>
      </w:r>
      <w:hyperlink r:id="rId11">
        <w:r>
          <w:rPr>
            <w:color w:val="0000EE"/>
            <w:u w:val="single"/>
          </w:rPr>
          <w:t>[3]</w:t>
        </w:r>
      </w:hyperlink>
      <w:r>
        <w:t xml:space="preserve">, </w:t>
      </w:r>
      <w:hyperlink r:id="rId13">
        <w:r>
          <w:rPr>
            <w:color w:val="0000EE"/>
            <w:u w:val="single"/>
          </w:rPr>
          <w:t>[7]</w:t>
        </w:r>
      </w:hyperlink>
      <w:r>
        <w:t xml:space="preserve">- Paragraph 7: </w:t>
      </w:r>
      <w:hyperlink r:id="rId14">
        <w:r>
          <w:rPr>
            <w:color w:val="0000EE"/>
            <w:u w:val="single"/>
          </w:rPr>
          <w:t>[4]</w:t>
        </w:r>
      </w:hyperlink>
      <w:r>
        <w:t xml:space="preserve">, </w:t>
      </w:r>
      <w:hyperlink r:id="rId15">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[6]</w:t>
        </w:r>
      </w:hyperlink>
      <w:r>
        <w:t xml:space="preserve">, </w:t>
      </w:r>
      <w:hyperlink r:id="rId13">
        <w:r>
          <w:rPr>
            <w:color w:val="0000EE"/>
            <w:u w:val="single"/>
          </w:rPr>
          <w:t>[7]</w:t>
        </w:r>
      </w:hyperlink>
      <w:r>
        <w:t xml:space="preserve">- Paragraph 10: </w:t>
      </w:r>
      <w:hyperlink r:id="rId14">
        <w:r>
          <w:rPr>
            <w:color w:val="0000EE"/>
            <w:u w:val="single"/>
          </w:rPr>
          <w:t>[4]</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https://www.advocate.com/opinion/lgbtq-movement-new-strategy</w:t>
        </w:r>
      </w:hyperlink>
      <w:r>
        <w:t xml:space="preserve"> - Please view link - unable to able to access data</w:t>
      </w:r>
      <w:r/>
    </w:p>
    <w:p>
      <w:pPr>
        <w:pStyle w:val="ListNumber"/>
        <w:spacing w:line="240" w:lineRule="auto"/>
        <w:ind w:left="720"/>
      </w:pPr>
      <w:r/>
      <w:hyperlink r:id="rId10">
        <w:r>
          <w:rPr>
            <w:color w:val="0000EE"/>
            <w:u w:val="single"/>
          </w:rPr>
          <w:t>https://www.hrc.org/press-releases/trumps-fy2027-budget-continued-rollback-of-lgbtq-protections</w:t>
        </w:r>
      </w:hyperlink>
      <w:r>
        <w:t xml:space="preserve"> - The Human Rights Campaign (HRC) reports that the Trump Administration's Fiscal Year 2027 budget proposes significant cuts to programs supporting LGBTQ+ individuals, including housing for people living with HIV, behavioral health grants, and fair housing protections. These reductions are seen as a direct attack on LGBTQ+ lives, undermining essential services and protections.</w:t>
      </w:r>
      <w:r/>
    </w:p>
    <w:p>
      <w:pPr>
        <w:pStyle w:val="ListNumber"/>
        <w:spacing w:line="240" w:lineRule="auto"/>
        <w:ind w:left="720"/>
      </w:pPr>
      <w:r/>
      <w:hyperlink r:id="rId11">
        <w:r>
          <w:rPr>
            <w:color w:val="0000EE"/>
            <w:u w:val="single"/>
          </w:rPr>
          <w:t>https://www.hrc.org/press-releases/trumps-proposed-federal-budget-what-it-means-for-lgbtq-communities</w:t>
        </w:r>
      </w:hyperlink>
      <w:r>
        <w:t xml:space="preserve"> - The HRC analyses President Trump's May 2025 budget proposal, highlighting threats to LGBTQ+ communities through funding cuts, program eliminations, and policy changes. The budget explicitly targets LGBTQ+ people, diversity, equity, and inclusion (DEI) initiatives, transgender healthcare access, and HIV/AIDS programs, with an estimated financial impact of approximately $2.67 billion on community support programs.</w:t>
      </w:r>
      <w:r/>
    </w:p>
    <w:p>
      <w:pPr>
        <w:pStyle w:val="ListNumber"/>
        <w:spacing w:line="240" w:lineRule="auto"/>
        <w:ind w:left="720"/>
      </w:pPr>
      <w:r/>
      <w:hyperlink r:id="rId14">
        <w:r>
          <w:rPr>
            <w:color w:val="0000EE"/>
            <w:u w:val="single"/>
          </w:rPr>
          <w:t>https://www.lgbtqnation.com/2026/09/90-of-lgbtq-groups-worldwide-have-suffered-financially-due-to-trumps-cuts-influence/</w:t>
        </w:r>
      </w:hyperlink>
      <w:r>
        <w:t xml:space="preserve"> - A report from Outright International reveals that 90% of LGBTQ+ organizations globally have experienced financial losses since January 2025, attributed to the Trump administration's cuts to U.S. foreign aid. The survey of 229 organizations across 94 countries indicates that many are at risk of closure, severely impacting services for LGBTQ+ communities worldwide.</w:t>
      </w:r>
      <w:r/>
    </w:p>
    <w:p>
      <w:pPr>
        <w:pStyle w:val="ListNumber"/>
        <w:spacing w:line="240" w:lineRule="auto"/>
        <w:ind w:left="720"/>
      </w:pPr>
      <w:r/>
      <w:hyperlink r:id="rId15">
        <w:r>
          <w:rPr>
            <w:color w:val="0000EE"/>
            <w:u w:val="single"/>
          </w:rPr>
          <w:t>https://outrightinternational.org/breaking-point</w:t>
        </w:r>
      </w:hyperlink>
      <w:r>
        <w:t xml:space="preserve"> - Outright International's 'Breaking Point' report details the urgent need to invest in global LGBTIQ movements. Surveying 229 organizations in 94 countries, the report found that 203 had lost funding since January 2025, with nearly half at severe or immediate risk of closing. The loss of U.S. government funding is identified as a significant factor in these challenges.</w:t>
      </w:r>
      <w:r/>
    </w:p>
    <w:p>
      <w:pPr>
        <w:pStyle w:val="ListNumber"/>
        <w:spacing w:line="240" w:lineRule="auto"/>
        <w:ind w:left="720"/>
      </w:pPr>
      <w:r/>
      <w:hyperlink r:id="rId12">
        <w:r>
          <w:rPr>
            <w:color w:val="0000EE"/>
            <w:u w:val="single"/>
          </w:rPr>
          <w:t>https://www.hrw.org/news/2026/06/19/the-collateral-damage-of-anti-trans-policymaking</w:t>
        </w:r>
      </w:hyperlink>
      <w:r>
        <w:t xml:space="preserve"> - Human Rights Watch discusses the broader impact of anti-trans policies in the U.S., noting that such measures not only harm transgender individuals but also affect entire communities. The article highlights the erosion of rights and services, including healthcare and education, due to these policies, emphasizing the need for a broad coalition to address these issues.</w:t>
      </w:r>
      <w:r/>
    </w:p>
    <w:p>
      <w:pPr>
        <w:pStyle w:val="ListNumber"/>
        <w:spacing w:line="240" w:lineRule="auto"/>
        <w:ind w:left="720"/>
      </w:pPr>
      <w:r/>
      <w:hyperlink r:id="rId13">
        <w:r>
          <w:rPr>
            <w:color w:val="0000EE"/>
            <w:u w:val="single"/>
          </w:rPr>
          <w:t>https://www.americanbar.org/groups/crsj/resources/human-rights/2026-june/americas-terrifying-turnaround-transgender-rights/</w:t>
        </w:r>
      </w:hyperlink>
      <w:r>
        <w:t xml:space="preserve"> - The American Bar Association examines the rapid reversal of progress on transgender rights in the U.S., highlighting the shift from expanding protections to enacting laws mandating discrimination. The article attributes this change to conservative leaders fueling fear and misinformation about transgender people for political gain, resulting in a national civil rights crisis.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opinion/lgbtq-movement-new-strategy" TargetMode="External"/><Relationship Id="rId10" Type="http://schemas.openxmlformats.org/officeDocument/2006/relationships/hyperlink" Target="https://www.hrc.org/press-releases/trumps-fy2027-budget-continued-rollback-of-lgbtq-protections" TargetMode="External"/><Relationship Id="rId11" Type="http://schemas.openxmlformats.org/officeDocument/2006/relationships/hyperlink" Target="https://www.hrc.org/press-releases/trumps-proposed-federal-budget-what-it-means-for-lgbtq-communities" TargetMode="External"/><Relationship Id="rId12" Type="http://schemas.openxmlformats.org/officeDocument/2006/relationships/hyperlink" Target="https://www.hrw.org/news/2026/06/19/the-collateral-damage-of-anti-trans-policymaking" TargetMode="External"/><Relationship Id="rId13" Type="http://schemas.openxmlformats.org/officeDocument/2006/relationships/hyperlink" Target="https://www.americanbar.org/groups/crsj/resources/human-rights/2026-june/americas-terrifying-turnaround-transgender-rights/" TargetMode="External"/><Relationship Id="rId14" Type="http://schemas.openxmlformats.org/officeDocument/2006/relationships/hyperlink" Target="https://www.lgbtqnation.com/2026/09/90-of-lgbtq-groups-worldwide-have-suffered-financially-due-to-trumps-cuts-influence/" TargetMode="External"/><Relationship Id="rId15" Type="http://schemas.openxmlformats.org/officeDocument/2006/relationships/hyperlink" Target="https://outrightinternational.org/breaking-po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