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LGBTQ Youth Need Safe Spaces to Tell Their Truth</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Growing up gay in 1990s Toronto meant absorbing stereotypes long before finding the language to challenge them. One writer’s deeply personal coming-out story shows how family fears, school bullying and media silence can shape a child’s mental health, while also offering parents a hopeful, practical lesson: listen, believe and make home feel safe.</w:t>
      </w:r>
      <w:r/>
    </w:p>
    <w:p>
      <w:pPr>
        <w:pStyle w:val="Heading2"/>
      </w:pPr>
      <w:r>
        <w:t>Childhood questions can carry enormous weight</w:t>
      </w:r>
      <w:r/>
    </w:p>
    <w:p>
      <w:r/>
      <w:r>
        <w:t>For many LGBTQ children, the first clues about identity arrive before they have the vocabulary to explain them. A lack of representation, casual insults and assumptions about crushes can make ordinary childhood moments feel like tests with no safe answer.</w:t>
      </w:r>
      <w:r/>
    </w:p>
    <w:p>
      <w:r/>
      <w:r>
        <w:t>The writer recalls watching heterosexual romance treated as the default everywhere, from television to books, while gay identity appeared mainly through mockery, fear or illness. That contrast matters. The American Psychological Association has highlighted how stigma and social rejection can contribute to poorer mental-health outcomes for LGBTQ people, particularly when support is limited.</w:t>
      </w:r>
      <w:r/>
    </w:p>
    <w:p>
      <w:r/>
      <w:r>
        <w:t>The result isn't always a dramatic crisis. Sometimes it's quieter: monitoring your voice, clothes, interests and friendships, then wondering whether anyone would accept the real version of you.</w:t>
      </w:r>
      <w:r/>
    </w:p>
    <w:p>
      <w:pPr>
        <w:pStyle w:val="Heading2"/>
      </w:pPr>
      <w:r>
        <w:t>When a child speaks, the response matters</w:t>
      </w:r>
      <w:r/>
    </w:p>
    <w:p>
      <w:r/>
      <w:r>
        <w:t>At eight, the writer told his mother he was gay, only to have the disclosure dismissed as something he had somehow picked up from his older brother. The moment wasn't driven by cruelty, but by fear and confusion. Even so, its impact lasted years.</w:t>
      </w:r>
      <w:r/>
    </w:p>
    <w:p>
      <w:r/>
      <w:r>
        <w:t>That distinction is important for parents. Good intentions don't automatically erase the harm caused when a child feels disbelieved. The safest response is simple and steady: thank them for telling you, reassure them that they're loved and avoid turning the moment into an interrogation.</w:t>
      </w:r>
      <w:r/>
    </w:p>
    <w:p>
      <w:r/>
      <w:r>
        <w:t>Research and commentary gathered by the APA point to family acceptance as a meaningful protective factor for LGBTQ young people. A warm response won't solve every problem, but it can give a child somewhere secure to return to when school, social media or the wider culture feels hostile.</w:t>
      </w:r>
      <w:r/>
    </w:p>
    <w:p>
      <w:pPr>
        <w:pStyle w:val="Heading2"/>
      </w:pPr>
      <w:r>
        <w:t>Bullying teaches children to hide</w:t>
      </w:r>
      <w:r/>
    </w:p>
    <w:p>
      <w:r/>
      <w:r>
        <w:t>The account is punctuated by the kind of remarks adults may dismiss as teasing, but children remember for years. A classmate predicted the writer would be gay. Rumours followed. At one point, switching schools seemed easier than facing another day of scrutiny.</w:t>
      </w:r>
      <w:r/>
    </w:p>
    <w:p>
      <w:r/>
      <w:r>
        <w:t>By adolescence, concealment had become a full-time performance. He edited his music choices, lied about his interests and dated girls despite feeling no genuine attraction. Gallup has reported that LGBTQ adults are more likely than their non-LGBTQ peers to describe themselves as anxious or stressed, a pattern that reflects the long shadow of social pressure.</w:t>
      </w:r>
      <w:r/>
    </w:p>
    <w:p>
      <w:r/>
      <w:r>
        <w:t>The wider history helps explain why this experience isn't isolated. The One Institute documents decades of LGBTQ youth organising, while the Smithsonian shows how community spaces, including skateboarding and public recreation, have helped young people find visibility and belonging. Representation doesn't remove every risk, but it gives children evidence that they aren't alone.</w:t>
      </w:r>
      <w:r/>
    </w:p>
    <w:p>
      <w:pPr>
        <w:pStyle w:val="Heading2"/>
      </w:pPr>
      <w:r>
        <w:t>Progress is real, but safety can't be assumed</w:t>
      </w:r>
      <w:r/>
    </w:p>
    <w:p>
      <w:r/>
      <w:r>
        <w:t>The writer eventually came out during Grade 11 and found acceptance from friends and family in a more open-minded Toronto. That ending is encouraging, but it shouldn't encourage complacency. Support often arrives unevenly, and a child may be confident in one setting while frightened in another.</w:t>
      </w:r>
      <w:r/>
    </w:p>
    <w:p>
      <w:r/>
      <w:r>
        <w:t>Historical records from the Clinton Presidential Library show how LGBTQ rights have developed through years of activism, public debate and political change. Yet progress at the policy level doesn't necessarily reach the school corridor or family kitchen immediately. A supportive law, teacher or community group matters, but so does the everyday language used at home.</w:t>
      </w:r>
      <w:r/>
    </w:p>
    <w:p>
      <w:r/>
      <w:r>
        <w:t>For parents, practical steps include using inclusive language, challenging homophobic jokes, learning about LGBTQ issues and checking in without demanding a confession. Don't wait for a child to make a formal announcement. A casual comment such as, "You can always tell me who you like, and I'll love you just the same," can quietly open the door.</w:t>
      </w:r>
      <w:r/>
    </w:p>
    <w:p>
      <w:pPr>
        <w:pStyle w:val="Heading2"/>
      </w:pPr>
      <w:r>
        <w:t>Listening is a form of protection</w:t>
      </w:r>
      <w:r/>
    </w:p>
    <w:p>
      <w:r/>
      <w:r>
        <w:t>The most powerful lesson here is also the least complicated: believe children when they describe themselves. They may change labels as they grow, but that doesn't make their feelings fake or their early disclosures meaningless.</w:t>
      </w:r>
      <w:r/>
    </w:p>
    <w:p>
      <w:r/>
      <w:r>
        <w:t>That approach leaves room for curiosity without pressure. Parents don't need perfect answers on day one. They need patience, a willingness to apologise and the courage to put a child's wellbeing ahead of their own discomfort.</w:t>
      </w:r>
      <w:r/>
    </w:p>
    <w:p>
      <w:r/>
      <w:r>
        <w:t>For anyone who grew up hiding, the story may feel painfully familiar. But it also offers a gentler possibility: one trusted adult can interrupt years of shame. In a world that still gives LGBTQ children plenty to fear, being heard at home can be a life-changing start.</w:t>
      </w:r>
      <w:r/>
    </w:p>
    <w:p>
      <w:r/>
      <w:r>
        <w:t>It's never too early to make home a safer place to tell the truth.</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[5]</w:t>
        </w:r>
      </w:hyperlink>
      <w:r>
        <w:t xml:space="preserve">- Paragraph 3: </w:t>
      </w:r>
      <w:hyperlink r:id="rId11">
        <w:r>
          <w:rPr>
            <w:color w:val="0000EE"/>
            <w:u w:val="single"/>
          </w:rPr>
          <w:t>[3]</w:t>
        </w:r>
      </w:hyperlink>
      <w:r>
        <w:t xml:space="preserve">, </w:t>
      </w:r>
      <w:hyperlink r:id="rId13">
        <w:r>
          <w:rPr>
            <w:color w:val="0000EE"/>
            <w:u w:val="single"/>
          </w:rPr>
          <w:t>[6]</w:t>
        </w:r>
      </w:hyperlink>
      <w:r>
        <w:t xml:space="preserve">- Paragraph 4: </w:t>
      </w:r>
      <w:hyperlink r:id="rId10">
        <w:r>
          <w:rPr>
            <w:color w:val="0000EE"/>
            <w:u w:val="single"/>
          </w:rPr>
          <w:t>[2]</w:t>
        </w:r>
      </w:hyperlink>
      <w:r>
        <w:t xml:space="preserve">, </w:t>
      </w:r>
      <w:hyperlink r:id="rId12">
        <w:r>
          <w:rPr>
            <w:color w:val="0000EE"/>
            <w:u w:val="single"/>
          </w:rPr>
          <w:t>[5]</w:t>
        </w:r>
      </w:hyperlink>
      <w:r>
        <w:t xml:space="preserve">- Paragraph 5: </w:t>
      </w:r>
      <w:hyperlink r:id="rId14">
        <w:r>
          <w:rPr>
            <w:color w:val="0000EE"/>
            <w:u w:val="single"/>
          </w:rPr>
          <w:t>[4]</w:t>
        </w:r>
      </w:hyperlink>
      <w:r>
        <w:t xml:space="preserve">, </w:t>
      </w:r>
      <w:hyperlink r:id="rId13">
        <w:r>
          <w:rPr>
            <w:color w:val="0000EE"/>
            <w:u w:val="single"/>
          </w:rPr>
          <w:t>[6]</w:t>
        </w:r>
      </w:hyperlink>
      <w:r>
        <w:t xml:space="preserve">- Paragraph 6: </w:t>
      </w:r>
      <w:hyperlink r:id="rId12">
        <w:r>
          <w:rPr>
            <w:color w:val="0000EE"/>
            <w:u w:val="single"/>
          </w:rPr>
          <w:t>[5]</w:t>
        </w:r>
      </w:hyperlink>
      <w:r>
        <w:t xml:space="preserve">, </w:t>
      </w:r>
      <w:hyperlink r:id="rId15">
        <w:r>
          <w:rPr>
            <w:color w:val="0000EE"/>
            <w:u w:val="single"/>
          </w:rPr>
          <w:t>[7]</w:t>
        </w:r>
      </w:hyperlink>
      <w:r>
        <w:t xml:space="preserve">- Paragraph 7: </w:t>
      </w:r>
      <w:hyperlink r:id="rId14">
        <w:r>
          <w:rPr>
            <w:color w:val="0000EE"/>
            <w:u w:val="single"/>
          </w:rPr>
          <w:t>[4]</w:t>
        </w:r>
      </w:hyperlink>
      <w:r>
        <w:t xml:space="preserve">, </w:t>
      </w:r>
      <w:hyperlink r:id="rId15">
        <w:r>
          <w:rPr>
            <w:color w:val="0000EE"/>
            <w:u w:val="single"/>
          </w:rPr>
          <w:t>[7]</w:t>
        </w:r>
      </w:hyperlink>
      <w:r>
        <w:t xml:space="preserve">- Paragraph 8: </w:t>
      </w:r>
      <w:hyperlink r:id="rId10">
        <w:r>
          <w:rPr>
            <w:color w:val="0000EE"/>
            <w:u w:val="single"/>
          </w:rPr>
          <w:t>[2]</w:t>
        </w:r>
      </w:hyperlink>
      <w:r>
        <w:t xml:space="preserve">, </w:t>
      </w:r>
      <w:hyperlink r:id="rId11">
        <w:r>
          <w:rPr>
            <w:color w:val="0000EE"/>
            <w:u w:val="single"/>
          </w:rPr>
          <w:t>[3]</w:t>
        </w:r>
      </w:hyperlink>
      <w:r>
        <w:t xml:space="preserve">- Paragraph 9: </w:t>
      </w:r>
      <w:hyperlink r:id="rId10">
        <w:r>
          <w:rPr>
            <w:color w:val="0000EE"/>
            <w:u w:val="single"/>
          </w:rPr>
          <w:t>[2]</w:t>
        </w:r>
      </w:hyperlink>
      <w:r>
        <w:t xml:space="preserve">, </w:t>
      </w:r>
      <w:hyperlink r:id="rId13">
        <w:r>
          <w:rPr>
            <w:color w:val="0000EE"/>
            <w:u w:val="single"/>
          </w:rPr>
          <w:t>[6]</w:t>
        </w:r>
      </w:hyperlink>
      <w:r>
        <w:t xml:space="preserve">- Paragraph 10: </w:t>
      </w:r>
      <w:hyperlink r:id="rId12">
        <w:r>
          <w:rPr>
            <w:color w:val="0000EE"/>
            <w:u w:val="single"/>
          </w:rPr>
          <w:t>[5]</w:t>
        </w:r>
      </w:hyperlink>
      <w:r>
        <w:t xml:space="preserve">, </w:t>
      </w:r>
      <w:hyperlink r:id="rId15">
        <w:r>
          <w:rPr>
            <w:color w:val="0000EE"/>
            <w:u w:val="single"/>
          </w:rPr>
          <w:t>[7]</w:t>
        </w:r>
      </w:hyperlink>
      <w:r>
        <w:t xml:space="preserve">- Paragraph 11: </w:t>
      </w:r>
      <w:hyperlink r:id="rId10">
        <w:r>
          <w:rPr>
            <w:color w:val="0000EE"/>
            <w:u w:val="single"/>
          </w:rPr>
          <w:t>[2]</w:t>
        </w:r>
      </w:hyperlink>
      <w:r>
        <w:t xml:space="preserve">, </w:t>
      </w:r>
      <w:hyperlink r:id="rId11">
        <w:r>
          <w:rPr>
            <w:color w:val="0000EE"/>
            <w:u w:val="single"/>
          </w:rPr>
          <w:t>[3]</w:t>
        </w:r>
      </w:hyperlink>
      <w:r>
        <w:t xml:space="preserve">- Paragraph 12: </w:t>
      </w:r>
      <w:hyperlink r:id="rId14">
        <w:r>
          <w:rPr>
            <w:color w:val="0000EE"/>
            <w:u w:val="single"/>
          </w:rPr>
          <w:t>[4]</w:t>
        </w:r>
      </w:hyperlink>
      <w:r>
        <w:t xml:space="preserve">, </w:t>
      </w:r>
      <w:hyperlink r:id="rId13">
        <w:r>
          <w:rPr>
            <w:color w:val="0000EE"/>
            <w:u w:val="single"/>
          </w:rPr>
          <w:t>[6]</w:t>
        </w:r>
      </w:hyperlink>
      <w:r>
        <w:t xml:space="preserve">- Paragraph 13: </w:t>
      </w:r>
      <w:hyperlink r:id="rId10">
        <w:r>
          <w:rPr>
            <w:color w:val="0000EE"/>
            <w:u w:val="single"/>
          </w:rPr>
          <w:t>[2]</w:t>
        </w:r>
      </w:hyperlink>
      <w:r>
        <w:t xml:space="preserve">, </w:t>
      </w:r>
      <w:hyperlink r:id="rId12">
        <w:r>
          <w:rPr>
            <w:color w:val="0000EE"/>
            <w:u w:val="single"/>
          </w:rPr>
          <w:t>[5]</w:t>
        </w:r>
      </w:hyperlink>
      <w:r>
        <w:t xml:space="preserve">- Paragraph 14: </w:t>
      </w:r>
      <w:hyperlink r:id="rId11">
        <w:r>
          <w:rPr>
            <w:color w:val="0000EE"/>
            <w:u w:val="single"/>
          </w:rPr>
          <w:t>[3]</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https://www.unclosetedmedia.com/p/being-gay-through-the-lens-of-my</w:t>
        </w:r>
      </w:hyperlink>
      <w:r>
        <w:t xml:space="preserve"> - Please view link - unable to able to access data</w:t>
      </w:r>
      <w:r/>
    </w:p>
    <w:p>
      <w:pPr>
        <w:pStyle w:val="ListNumber"/>
        <w:spacing w:line="240" w:lineRule="auto"/>
        <w:ind w:left="720"/>
      </w:pPr>
      <w:r/>
      <w:hyperlink r:id="rId10">
        <w:r>
          <w:rPr>
            <w:color w:val="0000EE"/>
            <w:u w:val="single"/>
          </w:rPr>
          <w:t>https://www.apa.org/monitor/2026/03/lgbtq-mental-health.html</w:t>
        </w:r>
      </w:hyperlink>
      <w:r>
        <w:t xml:space="preserve"> - A 2026 article from the American Psychological Association highlights significant increases in depression, anxiety, and suicidal thoughts among LGBTQ+ youth. The study reveals that 68% of LGBTQ+ youth aged 13 to 24 experienced anxiety symptoms at a one-year follow-up, up from 57% at baseline. Additionally, 54% reported depression symptoms, compared to 48% previously. The article underscores the urgent need for accessible mental health services tailored to the unique challenges faced by LGBTQ+ adolescents.</w:t>
      </w:r>
      <w:r/>
    </w:p>
    <w:p>
      <w:pPr>
        <w:pStyle w:val="ListNumber"/>
        <w:spacing w:line="240" w:lineRule="auto"/>
        <w:ind w:left="720"/>
      </w:pPr>
      <w:r/>
      <w:hyperlink r:id="rId11">
        <w:r>
          <w:rPr>
            <w:color w:val="0000EE"/>
            <w:u w:val="single"/>
          </w:rPr>
          <w:t>https://www.theatlantic.com/ideas/2026/03/gay-boys-lgbtq-trans/686179/?utm_source=apple_news</w:t>
        </w:r>
      </w:hyperlink>
      <w:r>
        <w:t xml:space="preserve"> - In this 2026 essay from The Atlantic, Ben Appel reflects on his experiences as a gender-nonconforming boy in a fundamentalist Christian community during the 1990s. He discusses the bullying he faced in public school due to his femininity and how societal expectations of masculinity impacted his mental health. Appel critiques the medicalization of gender nonconformity and advocates for a more nuanced understanding of gender identity and sexual orientation.</w:t>
      </w:r>
      <w:r/>
    </w:p>
    <w:p>
      <w:pPr>
        <w:pStyle w:val="ListNumber"/>
        <w:spacing w:line="240" w:lineRule="auto"/>
        <w:ind w:left="720"/>
      </w:pPr>
      <w:r/>
      <w:hyperlink r:id="rId14">
        <w:r>
          <w:rPr>
            <w:color w:val="0000EE"/>
            <w:u w:val="single"/>
          </w:rPr>
          <w:t>https://www.americanhistory.si.edu/explore/stories/place-park-lgbtq-inclusion-and-skateboarding</w:t>
        </w:r>
      </w:hyperlink>
      <w:r>
        <w:t xml:space="preserve"> - A 2019 article from the National Museum of American History explores the evolution of LGBTQ+ inclusion in the skateboarding community. It highlights the challenges faced by LGBTQ+ skaters in the 1980s and 1990s, including experiences of discrimination and the need to conceal their sexuality. The piece also celebrates the progress made in recent years towards greater acceptance and visibility of LGBTQ+ individuals within the sport.</w:t>
      </w:r>
      <w:r/>
    </w:p>
    <w:p>
      <w:pPr>
        <w:pStyle w:val="ListNumber"/>
        <w:spacing w:line="240" w:lineRule="auto"/>
        <w:ind w:left="720"/>
      </w:pPr>
      <w:r/>
      <w:hyperlink r:id="rId12">
        <w:r>
          <w:rPr>
            <w:color w:val="0000EE"/>
            <w:u w:val="single"/>
          </w:rPr>
          <w:t>https://www.gallup.com/opinion/gallup/507881/lgb-gen-members-anxious-stressed-peers.aspx</w:t>
        </w:r>
      </w:hyperlink>
      <w:r>
        <w:t xml:space="preserve"> - A 2023 Gallup report reveals that lesbian, gay, and bisexual Generation Z adults aged 18 to 25 experience higher levels of anxiety, sadness, stress, and loneliness compared to their heterosexual peers. The study indicates that 71% of LGB individuals report experiencing anxiety frequently, compared to 52% of their straight counterparts. The findings highlight the mental health disparities faced by LGBTQ+ youth and the need for targeted support and resources.</w:t>
      </w:r>
      <w:r/>
    </w:p>
    <w:p>
      <w:pPr>
        <w:pStyle w:val="ListNumber"/>
        <w:spacing w:line="240" w:lineRule="auto"/>
        <w:ind w:left="720"/>
      </w:pPr>
      <w:r/>
      <w:hyperlink r:id="rId13">
        <w:r>
          <w:rPr>
            <w:color w:val="0000EE"/>
            <w:u w:val="single"/>
          </w:rPr>
          <w:t>https://www.oneinstitute.org/lgbtq-youth-organizing-1965-1985/</w:t>
        </w:r>
      </w:hyperlink>
      <w:r>
        <w:t xml:space="preserve"> - An article from the One Institute discusses the history of LGBTQ+ youth organizing in the United States between 1965 and 1995. It highlights the formation of groups like Gay Youth in New York and San Francisco’s Vanguard, emphasizing the importance of youth activism in the broader LGBTQ+ rights movement. The piece sheds light on the challenges faced by these groups, including exclusion from adult-led organizations and societal stigma.</w:t>
      </w:r>
      <w:r/>
    </w:p>
    <w:p>
      <w:pPr>
        <w:pStyle w:val="ListNumber"/>
        <w:spacing w:line="240" w:lineRule="auto"/>
        <w:ind w:left="720"/>
      </w:pPr>
      <w:r/>
      <w:hyperlink r:id="rId15">
        <w:r>
          <w:rPr>
            <w:color w:val="0000EE"/>
            <w:u w:val="single"/>
          </w:rPr>
          <w:t>https://www.clintonlibrary.gov/research/gay-and-lesbian-rights-topic-guide</w:t>
        </w:r>
      </w:hyperlink>
      <w:r>
        <w:t xml:space="preserve"> - The William J. Clinton Presidential Library provides a comprehensive guide on gay and lesbian rights during the 1990s. The guide reflects the language and terminology used during that period, acknowledging that terms such as 'gay and lesbian' and 'homosexual' were commonly used as umbrella terms for the LGBTQ+ community. It offers insights into the political discussions and policies affecting LGBTQ+ individuals during President Clinton's administration.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unclosetedmedia.com/p/being-gay-through-the-lens-of-my" TargetMode="External"/><Relationship Id="rId10" Type="http://schemas.openxmlformats.org/officeDocument/2006/relationships/hyperlink" Target="https://www.apa.org/monitor/2026/03/lgbtq-mental-health.html" TargetMode="External"/><Relationship Id="rId11" Type="http://schemas.openxmlformats.org/officeDocument/2006/relationships/hyperlink" Target="https://www.theatlantic.com/ideas/2026/03/gay-boys-lgbtq-trans/686179/?utm_source=apple_news" TargetMode="External"/><Relationship Id="rId12" Type="http://schemas.openxmlformats.org/officeDocument/2006/relationships/hyperlink" Target="https://www.gallup.com/opinion/gallup/507881/lgb-gen-members-anxious-stressed-peers.aspx" TargetMode="External"/><Relationship Id="rId13" Type="http://schemas.openxmlformats.org/officeDocument/2006/relationships/hyperlink" Target="https://www.oneinstitute.org/lgbtq-youth-organizing-1965-1985/" TargetMode="External"/><Relationship Id="rId14" Type="http://schemas.openxmlformats.org/officeDocument/2006/relationships/hyperlink" Target="https://www.americanhistory.si.edu/explore/stories/place-park-lgbtq-inclusion-and-skateboarding" TargetMode="External"/><Relationship Id="rId15" Type="http://schemas.openxmlformats.org/officeDocument/2006/relationships/hyperlink" Target="https://www.clintonlibrary.gov/research/gay-and-lesbian-rights-topic-gui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