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Ways Clinicians Can Respond to Intimate Partner Violence Disclosures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Clinicians are being urged to look beyond familiar stereotypes when patients disclose intimate partner violence, particularly among men and LGBTQ+ people. A careful conversation about home life, relationships and immediate safety can uncover risks that routine social histories miss, while timely planning may be crucial when abuse and suicidal thoughts overlap.</w:t>
      </w:r>
      <w:r/>
    </w:p>
    <w:p>
      <w:pPr>
        <w:pStyle w:val="Heading2"/>
      </w:pPr>
      <w:r>
        <w:t>Abuse can affect any patient, not just the stereotype</w:t>
      </w:r>
      <w:r/>
    </w:p>
    <w:p>
      <w:r/>
      <w:r>
        <w:t xml:space="preserve">The strongest warning is also the simplest: intimate partner violence can be missed when clinicians expect to see a male perpetrator and a female victim. That narrow picture can leave male patients and LGBTQ+ patients feeling overlooked, especially when their accounts don't match familiar assumptions. Research and public-health guidance describe IPV as including physical, sexual and psychological harm, as well as controlling behaviour. According to the Centers for Disease Control and Prevention, it can happen in current or former relationships and affect people across backgrounds. </w:t>
      </w:r>
      <w:hyperlink r:id="rId9">
        <w:r>
          <w:rPr>
            <w:color w:val="0000EE"/>
            <w:u w:val="single"/>
          </w:rPr>
          <w:t>[2]</w:t>
        </w:r>
      </w:hyperlink>
      <w:r/>
    </w:p>
    <w:p>
      <w:r/>
      <w:r>
        <w:t xml:space="preserve">Police data discussed by Psychiatric Times indicated that men made up one in five IPV-related calls in a recent analysis, with male and female callers reporting similar subjective experiences of victimisation. That doesn't make every case identical, of course, but it does underline why a disclosure deserves attention regardless of the patient's gender or sexuality. </w:t>
      </w:r>
      <w:hyperlink r:id="rId10">
        <w:r>
          <w:rPr>
            <w:color w:val="0000EE"/>
            <w:u w:val="single"/>
          </w:rPr>
          <w:t>[3]</w:t>
        </w:r>
      </w:hyperlink>
      <w:r/>
    </w:p>
    <w:p>
      <w:pPr>
        <w:pStyle w:val="Heading2"/>
      </w:pPr>
      <w:r>
        <w:t>A calm question can open the door</w:t>
      </w:r>
      <w:r/>
    </w:p>
    <w:p>
      <w:r/>
      <w:r>
        <w:t xml:space="preserve">Good assessment starts with a private, respectful conversation rather than a checklist delivered at speed. Clinicians can ask what happens at home, whether a partner monitors money or messages, and whether the patient feels frightened, controlled or unsafe. The wording matters: a neutral tone can make it easier for someone to speak without feeling judged or pushed into a label. </w:t>
      </w:r>
      <w:hyperlink r:id="rId11">
        <w:r>
          <w:rPr>
            <w:color w:val="0000EE"/>
            <w:u w:val="single"/>
          </w:rPr>
          <w:t>[4]</w:t>
        </w:r>
      </w:hyperlink>
      <w:r/>
    </w:p>
    <w:p>
      <w:r/>
      <w:r>
        <w:t xml:space="preserve">A fuller history may also include information from a trusted loved one, where appropriate and safe. Studies of IPV and mental health have long pointed to the value of understanding the wider relationship environment, rather than treating symptoms in isolation. Still, clinicians must consider confidentiality and the possibility that a partner is monitoring communications before contacting anyone else. </w:t>
      </w:r>
      <w:hyperlink r:id="rId12">
        <w:r>
          <w:rPr>
            <w:color w:val="0000EE"/>
            <w:u w:val="single"/>
          </w:rPr>
          <w:t>[5]</w:t>
        </w:r>
      </w:hyperlink>
      <w:r/>
    </w:p>
    <w:p>
      <w:pPr>
        <w:pStyle w:val="Heading2"/>
      </w:pPr>
      <w:r>
        <w:t>Why mental-health symptoms shouldn't dismiss a disclosure</w:t>
      </w:r>
      <w:r/>
    </w:p>
    <w:p>
      <w:r/>
      <w:r>
        <w:t xml:space="preserve">A diagnosis can complicate assessment, but it shouldn't automatically discredit what a patient says. Psychiatric Times highlighted the example of a patient with schizophrenia who was grounded in reality and reported abuse. In that situation, the disclosure warranted serious consideration rather than being brushed aside as a symptom. </w:t>
      </w:r>
      <w:hyperlink r:id="rId13">
        <w:r>
          <w:rPr>
            <w:color w:val="0000EE"/>
            <w:u w:val="single"/>
          </w:rPr>
          <w:t>[1]</w:t>
        </w:r>
      </w:hyperlink>
      <w:r/>
    </w:p>
    <w:p>
      <w:r/>
      <w:r>
        <w:t xml:space="preserve">That principle is important because trauma, coercive control and mental illness can coexist. Research has found links between interpersonal violence and poorer mental-health outcomes, including depression, anxiety and post-traumatic symptoms. A careful clinician can assess the report, check for immediate danger and gather context without making assumptions either way. </w:t>
      </w:r>
      <w:hyperlink r:id="rId14">
        <w:r>
          <w:rPr>
            <w:color w:val="0000EE"/>
            <w:u w:val="single"/>
          </w:rPr>
          <w:t>[6]</w:t>
        </w:r>
      </w:hyperlink>
      <w:r/>
    </w:p>
    <w:p>
      <w:pPr>
        <w:pStyle w:val="Heading2"/>
      </w:pPr>
      <w:r>
        <w:t>The connection with suicide risk is impossible to ignore</w:t>
      </w:r>
      <w:r/>
    </w:p>
    <w:p>
      <w:r/>
      <w:r>
        <w:t xml:space="preserve">IPV and suicidality frequently overlap, so asking only whether a patient has support may not be enough. Someone can have friends, family or clinical care and still be living in a frightening or controlling home. For patients presenting with depression or suicidal thoughts, questions about who they live with, how conflict unfolds and whether they can leave safely may reveal risks that a standard support question misses. </w:t>
      </w:r>
      <w:hyperlink r:id="rId15">
        <w:r>
          <w:rPr>
            <w:color w:val="0000EE"/>
            <w:u w:val="single"/>
          </w:rPr>
          <w:t>[7]</w:t>
        </w:r>
      </w:hyperlink>
      <w:r/>
    </w:p>
    <w:p>
      <w:r/>
      <w:r>
        <w:t xml:space="preserve">This is where practical safety planning becomes vital. Depending on the circumstances, that can include identifying a safe place, discreetly storing important numbers, discussing emergency services and agreeing how follow-up will happen. Advice must be personalised, because an obvious intervention, such as calling a partner or leaving suddenly, could increase danger. </w:t>
      </w:r>
      <w:hyperlink r:id="rId9">
        <w:r>
          <w:rPr>
            <w:color w:val="0000EE"/>
            <w:u w:val="single"/>
          </w:rPr>
          <w:t>[2]</w:t>
        </w:r>
      </w:hyperlink>
      <w:r/>
    </w:p>
    <w:p>
      <w:pPr>
        <w:pStyle w:val="Heading2"/>
      </w:pPr>
      <w:r>
        <w:t>What should happen after a disclosure?</w:t>
      </w:r>
      <w:r/>
    </w:p>
    <w:p>
      <w:r/>
      <w:r>
        <w:t xml:space="preserve">There isn't one universal response, and local law and safeguarding rules matter. Clinicians should consider mandated reporting requirements, document the patient's words and observed concerns accurately, and involve specialist domestic-abuse services when suitable. The CDC also recommends connecting people with support while respecting autonomy and immediate safety. </w:t>
      </w:r>
      <w:hyperlink r:id="rId9">
        <w:r>
          <w:rPr>
            <w:color w:val="0000EE"/>
            <w:u w:val="single"/>
          </w:rPr>
          <w:t>[2]</w:t>
        </w:r>
      </w:hyperlink>
      <w:r/>
    </w:p>
    <w:p>
      <w:r/>
      <w:r>
        <w:t xml:space="preserve">Screening can help when it leads to meaningful support, but it works best alongside privacy, empathy and a clear plan. The most useful question may not be a dramatic one. Sometimes it's the quiet, direct follow-up that says: "What happens when you go home?" </w:t>
      </w:r>
      <w:hyperlink r:id="rId11">
        <w:r>
          <w:rPr>
            <w:color w:val="0000EE"/>
            <w:u w:val="single"/>
          </w:rPr>
          <w:t>[4]</w:t>
        </w:r>
      </w:hyperlink>
      <w:r/>
    </w:p>
    <w:p>
      <w:r/>
      <w:r>
        <w:t xml:space="preserve">A patient's account should be taken seriously, assessed carefully and met with a response that protects both safety and dignity. </w:t>
      </w:r>
      <w:hyperlink r:id="rId12">
        <w:r>
          <w:rPr>
            <w:color w:val="0000EE"/>
            <w:u w:val="single"/>
          </w:rPr>
          <w:t>[5]</w:t>
        </w:r>
      </w:hyperlink>
      <w:r/>
    </w:p>
    <w:p>
      <w:r/>
      <w:r>
        <w:t>It's a small shift in questioning, but it can change what a clinician sees.</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0">
        <w:r>
          <w:rPr>
            <w:color w:val="0000EE"/>
            <w:u w:val="single"/>
          </w:rPr>
          <w:t>[3]</w:t>
        </w:r>
      </w:hyperlink>
      <w:r>
        <w:t xml:space="preserve">, </w:t>
      </w:r>
      <w:hyperlink r:id="rId11">
        <w:r>
          <w:rPr>
            <w:color w:val="0000EE"/>
            <w:u w:val="single"/>
          </w:rPr>
          <w:t>[4]</w:t>
        </w:r>
      </w:hyperlink>
      <w:r>
        <w:t xml:space="preserve">- Paragraph 3: </w:t>
      </w:r>
      <w:hyperlink r:id="rId11">
        <w:r>
          <w:rPr>
            <w:color w:val="0000EE"/>
            <w:u w:val="single"/>
          </w:rPr>
          <w:t>[4]</w:t>
        </w:r>
      </w:hyperlink>
      <w:r>
        <w:t xml:space="preserve">, </w:t>
      </w:r>
      <w:hyperlink r:id="rId12">
        <w:r>
          <w:rPr>
            <w:color w:val="0000EE"/>
            <w:u w:val="single"/>
          </w:rPr>
          <w:t>[5]</w:t>
        </w:r>
      </w:hyperlink>
      <w:r>
        <w:t xml:space="preserve">- Paragraph 4: </w:t>
      </w:r>
      <w:hyperlink r:id="rId12">
        <w:r>
          <w:rPr>
            <w:color w:val="0000EE"/>
            <w:u w:val="single"/>
          </w:rPr>
          <w:t>[5]</w:t>
        </w:r>
      </w:hyperlink>
      <w:r>
        <w:t xml:space="preserve">, </w:t>
      </w:r>
      <w:hyperlink r:id="rId14">
        <w:r>
          <w:rPr>
            <w:color w:val="0000EE"/>
            <w:u w:val="single"/>
          </w:rPr>
          <w:t>[6]</w:t>
        </w:r>
      </w:hyperlink>
      <w:r>
        <w:t xml:space="preserve">- Paragraph 5: </w:t>
      </w:r>
      <w:hyperlink r:id="rId13">
        <w:r>
          <w:rPr>
            <w:color w:val="0000EE"/>
            <w:u w:val="single"/>
          </w:rPr>
          <w:t>[1]</w:t>
        </w:r>
      </w:hyperlink>
      <w:r>
        <w:t xml:space="preserve">, </w:t>
      </w:r>
      <w:hyperlink r:id="rId14">
        <w:r>
          <w:rPr>
            <w:color w:val="0000EE"/>
            <w:u w:val="single"/>
          </w:rPr>
          <w:t>[6]</w:t>
        </w:r>
      </w:hyperlink>
      <w:r>
        <w:t xml:space="preserve">- Paragraph 6: </w:t>
      </w:r>
      <w:hyperlink r:id="rId15">
        <w:r>
          <w:rPr>
            <w:color w:val="0000EE"/>
            <w:u w:val="single"/>
          </w:rPr>
          <w:t>[7]</w:t>
        </w:r>
      </w:hyperlink>
      <w:r>
        <w:t xml:space="preserve">, </w:t>
      </w:r>
      <w:hyperlink r:id="rId9">
        <w:r>
          <w:rPr>
            <w:color w:val="0000EE"/>
            <w:u w:val="single"/>
          </w:rPr>
          <w:t>[2]</w:t>
        </w:r>
      </w:hyperlink>
      <w:r>
        <w:t xml:space="preserve">- Paragraph 7: </w:t>
      </w:r>
      <w:hyperlink r:id="rId9">
        <w:r>
          <w:rPr>
            <w:color w:val="0000EE"/>
            <w:u w:val="single"/>
          </w:rPr>
          <w:t>[2]</w:t>
        </w:r>
      </w:hyperlink>
      <w:r>
        <w:t xml:space="preserve">, </w:t>
      </w:r>
      <w:hyperlink r:id="rId15">
        <w:r>
          <w:rPr>
            <w:color w:val="0000EE"/>
            <w:u w:val="single"/>
          </w:rPr>
          <w:t>[7]</w:t>
        </w:r>
      </w:hyperlink>
      <w:r>
        <w:t xml:space="preserve">- Paragraph 8: </w:t>
      </w:r>
      <w:hyperlink r:id="rId9">
        <w:r>
          <w:rPr>
            <w:color w:val="0000EE"/>
            <w:u w:val="single"/>
          </w:rPr>
          <w:t>[2]</w:t>
        </w:r>
      </w:hyperlink>
      <w:r>
        <w:t xml:space="preserve">, </w:t>
      </w:r>
      <w:hyperlink r:id="rId11">
        <w:r>
          <w:rPr>
            <w:color w:val="0000EE"/>
            <w:u w:val="single"/>
          </w:rPr>
          <w:t>[4]</w:t>
        </w:r>
      </w:hyperlink>
      <w:r>
        <w:t xml:space="preserve">- Paragraph 9: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https://www.psychiatrictimes.com/view/responding-to-intimate-partner-violence-disclosures-in-psychiatry</w:t>
        </w:r>
      </w:hyperlink>
      <w:r>
        <w:t xml:space="preserve"> - Please view link - unable to able to access data</w:t>
      </w:r>
      <w:r/>
    </w:p>
    <w:p>
      <w:pPr>
        <w:pStyle w:val="ListNumber"/>
        <w:spacing w:line="240" w:lineRule="auto"/>
        <w:ind w:left="720"/>
      </w:pPr>
      <w:r/>
      <w:hyperlink r:id="rId9">
        <w:r>
          <w:rPr>
            <w:color w:val="0000EE"/>
            <w:u w:val="single"/>
          </w:rPr>
          <w:t>https://www.cdc.gov/intimate-partner-violence/about/index.html/</w:t>
        </w:r>
      </w:hyperlink>
      <w:r>
        <w:t xml:space="preserve"> - The Centers for Disease Control and Prevention (CDC) provides comprehensive information on intimate partner violence (IPV), including its definition, types, prevalence, and health impacts. The CDC highlights that IPV affects millions of people in the United States each year, with more than 1 in 3 women and more than 1 in 6 men experiencing contact sexual violence, physical violence, and/or stalking by an intimate partner during their lifetimes. The CDC also discusses the various forms of IPV, such as physical violence, sexual violence, stalking, and psychological aggression, and emphasizes the importance of promoting healthy relationships and communities to reduce IPV.</w:t>
      </w:r>
      <w:r/>
    </w:p>
    <w:p>
      <w:pPr>
        <w:pStyle w:val="ListNumber"/>
        <w:spacing w:line="240" w:lineRule="auto"/>
        <w:ind w:left="720"/>
      </w:pPr>
      <w:r/>
      <w:hyperlink r:id="rId10">
        <w:r>
          <w:rPr>
            <w:color w:val="0000EE"/>
            <w:u w:val="single"/>
          </w:rPr>
          <w:t>https://pmc.ncbi.nlm.nih.gov/articles/PMC2596504/</w:t>
        </w:r>
      </w:hyperlink>
      <w:r>
        <w:t xml:space="preserve"> - This article reviews the challenges in interpreting research on intimate partner violence (IPV) in men, its prevalence and health effects in men, and the arguments for addressing IPV with men in the health-care setting. It introduces pilot guidelines based on existing literature and expert opinion. The article emphasizes that IPV is a common and devastating problem affecting the health of women, men, and children, and that most health-care research focuses on the effects of IPV on women and children, with less known about addressing IPV with men in the health-care setting.</w:t>
      </w:r>
      <w:r/>
    </w:p>
    <w:p>
      <w:pPr>
        <w:pStyle w:val="ListNumber"/>
        <w:spacing w:line="240" w:lineRule="auto"/>
        <w:ind w:left="720"/>
      </w:pPr>
      <w:r/>
      <w:hyperlink r:id="rId11">
        <w:r>
          <w:rPr>
            <w:color w:val="0000EE"/>
            <w:u w:val="single"/>
          </w:rPr>
          <w:t>https://doi.org/10.1177/02697580231196165</w:t>
        </w:r>
      </w:hyperlink>
      <w:r>
        <w:t xml:space="preserve"> - This research article examines the barriers that queer men face in recognizing male-perpetrated intimate partner violence (IPV) through the lens of Nils Christie's 'Ideal Victim' framework. The study uses data gathered from interviews with queer male victims of male-perpetrated IPV to investigate how these men understand their experiences of violence and abuse in relation to wider cultural norms and images of victimisation. The article highlights the challenges queer men face in identifying themselves as victims of IPV and the cultural and social dynamics that contribute to this underrecognition.</w:t>
      </w:r>
      <w:r/>
    </w:p>
    <w:p>
      <w:pPr>
        <w:pStyle w:val="ListNumber"/>
        <w:spacing w:line="240" w:lineRule="auto"/>
        <w:ind w:left="720"/>
      </w:pPr>
      <w:r/>
      <w:hyperlink r:id="rId12">
        <w:r>
          <w:rPr>
            <w:color w:val="0000EE"/>
            <w:u w:val="single"/>
          </w:rPr>
          <w:t>https://pubmed.ncbi.nlm.nih.gov/24641108/</w:t>
        </w:r>
      </w:hyperlink>
      <w:r>
        <w:t xml:space="preserve"> - This study explores intimate partner violence (IPV) among gay men, providing a gender analysis. The research highlights that while IPV is predominantly understood as a women's health issue, there is increasing recognition of the existence of male victims of IPV. The study discusses the prevalence and health effects of IPV in gay men and emphasizes the need for healthcare providers to address IPV in this population. The article also examines the gendered nature of IPV and the unique challenges faced by gay men in disclosing and seeking help for IPV.</w:t>
      </w:r>
      <w:r/>
    </w:p>
    <w:p>
      <w:pPr>
        <w:pStyle w:val="ListNumber"/>
        <w:spacing w:line="240" w:lineRule="auto"/>
        <w:ind w:left="720"/>
      </w:pPr>
      <w:r/>
      <w:hyperlink r:id="rId14">
        <w:r>
          <w:rPr>
            <w:color w:val="0000EE"/>
            <w:u w:val="single"/>
          </w:rPr>
          <w:t>https://pmc.ncbi.nlm.nih.gov/articles/PMC7034778/</w:t>
        </w:r>
      </w:hyperlink>
      <w:r>
        <w:t xml:space="preserve"> - This study examines intimate partner violence (IPV) and controlling behaviors experienced by emergency department patients, focusing on differences by sexual orientation and gender identification. The research finds that reports of IPV among lesbians, gays, and bisexuals exceed those of heterosexual populations, with 44% of lesbian and 61% of bisexual women, and 26% of gay and 37% of bisexual men reporting rape, physical violence, and/or stalking IPV in their lifetime compared to 35% and 29% of heterosexual women and men, respectively. The study highlights the high prevalence of IPV in the lesbian, gay, bisexual, transgender, and questioning (LGBTQ) community and the need for targeted interventions.</w:t>
      </w:r>
      <w:r/>
    </w:p>
    <w:p>
      <w:pPr>
        <w:pStyle w:val="ListNumber"/>
        <w:spacing w:line="240" w:lineRule="auto"/>
        <w:ind w:left="720"/>
      </w:pPr>
      <w:r/>
      <w:hyperlink r:id="rId15">
        <w:r>
          <w:rPr>
            <w:color w:val="0000EE"/>
            <w:u w:val="single"/>
          </w:rPr>
          <w:t>https://pmc.ncbi.nlm.nih.gov/articles/PMC3138983/</w:t>
        </w:r>
      </w:hyperlink>
      <w:r>
        <w:t xml:space="preserve"> - This article addresses intimate partner violence (IPV) in lesbian, gay, bisexual, and transgender (LGBT) patients. It highlights that the medical community's efforts to address IPV have often neglected members of the LGBT population, despite similar prevalence rates and detrimental health effects. The article discusses the burden of IPV in LGBT relationships, how LGBT and heterosexual IPV differ, and outlines steps clinicians can take to address IPV in their LGBT patients. The authors emphasize the importance of culturally competent services and the need for healthcare providers to be aware of the unique challenges faced by LGBT individuals experiencing IPV.</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dc.gov/intimate-partner-violence/about/index.html/" TargetMode="External"/><Relationship Id="rId10" Type="http://schemas.openxmlformats.org/officeDocument/2006/relationships/hyperlink" Target="https://pmc.ncbi.nlm.nih.gov/articles/PMC2596504/" TargetMode="External"/><Relationship Id="rId11" Type="http://schemas.openxmlformats.org/officeDocument/2006/relationships/hyperlink" Target="https://doi.org/10.1177/02697580231196165" TargetMode="External"/><Relationship Id="rId12" Type="http://schemas.openxmlformats.org/officeDocument/2006/relationships/hyperlink" Target="https://pubmed.ncbi.nlm.nih.gov/24641108/" TargetMode="External"/><Relationship Id="rId13" Type="http://schemas.openxmlformats.org/officeDocument/2006/relationships/hyperlink" Target="https://www.psychiatrictimes.com/view/responding-to-intimate-partner-violence-disclosures-in-psychiatry" TargetMode="External"/><Relationship Id="rId14" Type="http://schemas.openxmlformats.org/officeDocument/2006/relationships/hyperlink" Target="https://pmc.ncbi.nlm.nih.gov/articles/PMC7034778/" TargetMode="External"/><Relationship Id="rId15" Type="http://schemas.openxmlformats.org/officeDocument/2006/relationships/hyperlink" Target="https://pmc.ncbi.nlm.nih.gov/articles/PMC313898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