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NIH-funded Indigenous Two-Spirit HIV study raises research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nearly $70,000 US National Institutes of Health grant for research into Indigenous Two-Spirit and LGBTQ+ people living with HIV has prompted debate over priorities, methods and the role of culture in health research.</w:t>
      </w:r>
      <w:r/>
    </w:p>
    <w:p>
      <w:pPr>
        <w:pStyle w:val="Heading2"/>
      </w:pPr>
      <w:r>
        <w:t>Essential Takeaways</w:t>
      </w:r>
      <w:r/>
      <w:r/>
    </w:p>
    <w:p>
      <w:pPr>
        <w:pStyle w:val="ListBullet"/>
        <w:spacing w:line="240" w:lineRule="auto"/>
        <w:ind w:left="720"/>
      </w:pPr>
      <w:r/>
      <w:r>
        <w:rPr>
          <w:b/>
        </w:rPr>
        <w:t>The project:</w:t>
      </w:r>
      <w:r>
        <w:t xml:space="preserve"> Researchers plan interviews with 15 to 20 Indigenous Two-Spirit and LGBTQ+ people living with HIV.</w:t>
      </w:r>
      <w:r/>
    </w:p>
    <w:p>
      <w:pPr>
        <w:pStyle w:val="ListBullet"/>
        <w:spacing w:line="240" w:lineRule="auto"/>
        <w:ind w:left="720"/>
      </w:pPr>
      <w:r/>
      <w:r>
        <w:rPr>
          <w:b/>
        </w:rPr>
        <w:t>The focus:</w:t>
      </w:r>
      <w:r>
        <w:t xml:space="preserve"> It explores healthy ageing, cultural identity, health disparities and ideas of wellbeing.</w:t>
      </w:r>
      <w:r/>
    </w:p>
    <w:p>
      <w:pPr>
        <w:pStyle w:val="ListBullet"/>
        <w:spacing w:line="240" w:lineRule="auto"/>
        <w:ind w:left="720"/>
      </w:pPr>
      <w:r/>
      <w:r>
        <w:rPr>
          <w:b/>
        </w:rPr>
        <w:t>The criticism:</w:t>
      </w:r>
      <w:r>
        <w:t xml:space="preserve"> A medical reform group has questioned the small sample and the study's design.</w:t>
      </w:r>
      <w:r/>
    </w:p>
    <w:p>
      <w:pPr>
        <w:pStyle w:val="ListBullet"/>
        <w:spacing w:line="240" w:lineRule="auto"/>
        <w:ind w:left="720"/>
      </w:pPr>
      <w:r/>
      <w:r>
        <w:rPr>
          <w:b/>
        </w:rPr>
        <w:t>The wider context:</w:t>
      </w:r>
      <w:r>
        <w:t xml:space="preserve"> NIH programmes explicitly support research into minority health and unequal health outcomes.</w:t>
      </w:r>
      <w:r/>
    </w:p>
    <w:p>
      <w:pPr>
        <w:pStyle w:val="ListBullet"/>
        <w:spacing w:line="240" w:lineRule="auto"/>
        <w:ind w:left="720"/>
      </w:pPr>
      <w:r/>
      <w:r>
        <w:rPr>
          <w:b/>
        </w:rPr>
        <w:t>The practical point:</w:t>
      </w:r>
      <w:r>
        <w:t xml:space="preserve"> Small qualitative studies can offer depth, but their findings shouldn't be treated as broadly representative.</w:t>
      </w:r>
      <w:r/>
      <w:r/>
    </w:p>
    <w:p>
      <w:pPr>
        <w:pStyle w:val="Heading2"/>
      </w:pPr>
      <w:r>
        <w:t>A small grant with a big political argument</w:t>
      </w:r>
      <w:r/>
    </w:p>
    <w:p>
      <w:r/>
      <w:r>
        <w:t>The study sits at the intersection of HIV care, ageing, Indigenous identity and LGBTQ+ health, which is precisely why it has attracted attention. Its proposed interviews are intended to explore how participants understand ageing well and how cultural experience shapes that journey.</w:t>
      </w:r>
      <w:r/>
    </w:p>
    <w:p>
      <w:r/>
      <w:r>
        <w:t>That approach is qualitative rather than clinical. Instead of testing a drug or comparing treatment outcomes, the researchers want detailed personal accounts, the sort of conversations that can reveal what a spreadsheet misses. For participants, that may feel more like being heard than being measured.</w:t>
      </w:r>
      <w:r/>
    </w:p>
    <w:p>
      <w:r/>
      <w:r>
        <w:t xml:space="preserve">The project was awarded nearly $70,000 to Professor Chase Bryer at the University of Hawaii, according to The College Fix. The publication said it contacted Bryer for comment but didn't receive a response. </w:t>
      </w:r>
      <w:hyperlink r:id="rId9">
        <w:r>
          <w:rPr>
            <w:color w:val="0000EE"/>
            <w:u w:val="single"/>
          </w:rPr>
          <w:t>[2]</w:t>
        </w:r>
      </w:hyperlink>
      <w:r>
        <w:t xml:space="preserve">, </w:t>
      </w:r>
      <w:hyperlink r:id="rId10">
        <w:r>
          <w:rPr>
            <w:color w:val="0000EE"/>
            <w:u w:val="single"/>
          </w:rPr>
          <w:t>[3]</w:t>
        </w:r>
      </w:hyperlink>
      <w:r/>
    </w:p>
    <w:p>
      <w:pPr>
        <w:pStyle w:val="Heading2"/>
      </w:pPr>
      <w:r>
        <w:t>What the researchers say they want to learn</w:t>
      </w:r>
      <w:r/>
    </w:p>
    <w:p>
      <w:r/>
      <w:r>
        <w:t>The stated ambitions are broad. The team plans to examine intersectional health disparities and consider culturally appropriate interventions, including intergenerational healing workshops. It also wants to explore cultural generativity, or the ways people pass knowledge, values and support between generations.</w:t>
      </w:r>
      <w:r/>
    </w:p>
    <w:p>
      <w:r/>
      <w:r>
        <w:t xml:space="preserve">That doesn't automatically make the research a treatment study. The National Institute on Minority Health and Health Disparities describes minority health research as covering the conditions, behaviours and systems that influence health outcomes across different populations. NIH materials also identify health disparities as a continuing research priority. </w:t>
      </w:r>
      <w:hyperlink r:id="rId9">
        <w:r>
          <w:rPr>
            <w:color w:val="0000EE"/>
            <w:u w:val="single"/>
          </w:rPr>
          <w:t>[2]</w:t>
        </w:r>
      </w:hyperlink>
      <w:r>
        <w:t xml:space="preserve">, </w:t>
      </w:r>
      <w:hyperlink r:id="rId10">
        <w:r>
          <w:rPr>
            <w:color w:val="0000EE"/>
            <w:u w:val="single"/>
          </w:rPr>
          <w:t>[3]</w:t>
        </w:r>
      </w:hyperlink>
      <w:r/>
    </w:p>
    <w:p>
      <w:r/>
      <w:r>
        <w:t xml:space="preserve">There is a useful distinction here. Cultural factors can affect trust, access to care, family support and willingness to seek help, while HIV treatment itself depends on evidence-based medicine. Good research should be able to examine both without pretending they are interchangeable. </w:t>
      </w:r>
      <w:hyperlink r:id="rId11">
        <w:r>
          <w:rPr>
            <w:color w:val="0000EE"/>
            <w:u w:val="single"/>
          </w:rPr>
          <w:t>[4]</w:t>
        </w:r>
      </w:hyperlink>
      <w:r>
        <w:t xml:space="preserve">, </w:t>
      </w:r>
      <w:hyperlink r:id="rId12">
        <w:r>
          <w:rPr>
            <w:color w:val="0000EE"/>
            <w:u w:val="single"/>
          </w:rPr>
          <w:t>[6]</w:t>
        </w:r>
      </w:hyperlink>
      <w:r/>
    </w:p>
    <w:p>
      <w:pPr>
        <w:pStyle w:val="Heading2"/>
      </w:pPr>
      <w:r>
        <w:t>Why the sample size is attracting criticism</w:t>
      </w:r>
      <w:r/>
    </w:p>
    <w:p>
      <w:r/>
      <w:r>
        <w:t>A planned group of 15 to 20 interviewees is small, but that isn't unusual for an in-depth qualitative project. Interviews can produce rich accounts of identity, treatment experiences and community life, even when they can't provide a numerical picture of an entire population.</w:t>
      </w:r>
      <w:r/>
    </w:p>
    <w:p>
      <w:r/>
      <w:r>
        <w:t>The risk comes when a narrow group is used to support sweeping conclusions. A handful of detailed stories can illuminate possible themes, but they can't establish how common a view is or prove that one intervention will work across Indigenous communities.</w:t>
      </w:r>
      <w:r/>
    </w:p>
    <w:p>
      <w:r/>
      <w:r>
        <w:t xml:space="preserve">Ian Kingsbury of Do No Harm criticised what he described as the project's “tiny sample size and faulty research design”, The College Fix reported. He also argued that the study gives too much weight to Indigenous ways of knowing while overlooking the role of Western medicine in advances in HIV treatment. </w:t>
      </w:r>
      <w:hyperlink r:id="rId13">
        <w:r>
          <w:rPr>
            <w:color w:val="0000EE"/>
            <w:u w:val="single"/>
          </w:rPr>
          <w:t>[5]</w:t>
        </w:r>
      </w:hyperlink>
      <w:r>
        <w:t xml:space="preserve">, </w:t>
      </w:r>
      <w:hyperlink r:id="rId12">
        <w:r>
          <w:rPr>
            <w:color w:val="0000EE"/>
            <w:u w:val="single"/>
          </w:rPr>
          <w:t>[6]</w:t>
        </w:r>
      </w:hyperlink>
      <w:r/>
    </w:p>
    <w:p>
      <w:pPr>
        <w:pStyle w:val="Heading2"/>
      </w:pPr>
      <w:r>
        <w:t>Culture and medicine don't have to be rivals</w:t>
      </w:r>
      <w:r/>
    </w:p>
    <w:p>
      <w:r/>
      <w:r>
        <w:t>That criticism highlights a familiar fault line in modern health research. Some observers worry that terms such as “culturally appropriate” can become vague political language. Others point out that culture can shape whether people trust clinicians, stay engaged with care and feel safe discussing sensitive issues.</w:t>
      </w:r>
      <w:r/>
    </w:p>
    <w:p>
      <w:r/>
      <w:r>
        <w:t xml:space="preserve">Existing health research has linked social conditions, stigma and unequal access to differences in health outcomes. For people living with HIV, those factors may sit alongside medication, viral suppression and regular clinical monitoring. Ignoring either side would leave an incomplete picture. </w:t>
      </w:r>
      <w:hyperlink r:id="rId11">
        <w:r>
          <w:rPr>
            <w:color w:val="0000EE"/>
            <w:u w:val="single"/>
          </w:rPr>
          <w:t>[4]</w:t>
        </w:r>
      </w:hyperlink>
      <w:r>
        <w:t xml:space="preserve">, </w:t>
      </w:r>
      <w:hyperlink r:id="rId12">
        <w:r>
          <w:rPr>
            <w:color w:val="0000EE"/>
            <w:u w:val="single"/>
          </w:rPr>
          <w:t>[6]</w:t>
        </w:r>
      </w:hyperlink>
      <w:r>
        <w:t xml:space="preserve">, </w:t>
      </w:r>
      <w:hyperlink r:id="rId14">
        <w:r>
          <w:rPr>
            <w:color w:val="0000EE"/>
            <w:u w:val="single"/>
          </w:rPr>
          <w:t>[7]</w:t>
        </w:r>
      </w:hyperlink>
      <w:r/>
    </w:p>
    <w:p>
      <w:r/>
      <w:r>
        <w:t>The strongest version of this research would keep its claims modest and its methods transparent. Interviews could identify questions for future study, but they shouldn't be presented as proof that a workshop, spiritual practice or community intervention can replace medical care.</w:t>
      </w:r>
      <w:r/>
    </w:p>
    <w:p>
      <w:pPr>
        <w:pStyle w:val="Heading2"/>
      </w:pPr>
      <w:r>
        <w:t>The NIH debate is now part of the story</w:t>
      </w:r>
      <w:r/>
    </w:p>
    <w:p>
      <w:r/>
      <w:r>
        <w:t>The grant is also being judged against the Trump administration's wider effort to change NIH priorities. A federal court has temporarily blocked parts of those proposed changes while litigation continues, according to The College Fix.</w:t>
      </w:r>
      <w:r/>
    </w:p>
    <w:p>
      <w:r/>
      <w:r>
        <w:t>That means this isn't only an argument about one research team. It's also about who decides which health questions deserve public money, and whether research into underserved groups is seen as essential public health work or ideological spending.</w:t>
      </w:r>
      <w:r/>
    </w:p>
    <w:p>
      <w:r/>
      <w:r>
        <w:t xml:space="preserve">NIH's own research priorities indicate that minority health and health disparities remain legitimate areas of investigation. The more constructive question, then, is whether each individual project has a clear research question, sound safeguards, credible analysis and a realistic account of what its results can show. </w:t>
      </w:r>
      <w:hyperlink r:id="rId9">
        <w:r>
          <w:rPr>
            <w:color w:val="0000EE"/>
            <w:u w:val="single"/>
          </w:rPr>
          <w:t>[2]</w:t>
        </w:r>
      </w:hyperlink>
      <w:r>
        <w:t xml:space="preserve">, </w:t>
      </w:r>
      <w:hyperlink r:id="rId10">
        <w:r>
          <w:rPr>
            <w:color w:val="0000EE"/>
            <w:u w:val="single"/>
          </w:rPr>
          <w:t>[3]</w:t>
        </w:r>
      </w:hyperlink>
      <w:r/>
    </w:p>
    <w:p>
      <w:pPr>
        <w:pStyle w:val="Heading2"/>
      </w:pPr>
      <w:r>
        <w:t>What readers should look for next</w:t>
      </w:r>
      <w:r/>
    </w:p>
    <w:p>
      <w:r/>
      <w:r>
        <w:t>The important evidence will come later, when the study explains how participants were recruited, how interviews were analysed and whether the researchers acknowledge the limits of their sample. Readers should also look for a clear separation between describing people's experiences and recommending medical interventions.</w:t>
      </w:r>
      <w:r/>
    </w:p>
    <w:p>
      <w:r/>
      <w:r>
        <w:t>For anyone assessing research in this area, a few checks help. Is the study exploratory or designed to test effectiveness? Are participants representative of the wider population? Does it measure health outcomes, or only perceptions and stories? And does it complement established HIV treatment rather than compete with it?</w:t>
      </w:r>
      <w:r/>
    </w:p>
    <w:p>
      <w:r/>
      <w:r>
        <w:t>Those questions are hardly glamorous, but they're the difference between a useful early study and an overconfident headline. In health research, careful boundaries matter just as much as bold ambitions.</w:t>
      </w:r>
      <w:r/>
    </w:p>
    <w:p>
      <w:r/>
      <w:r>
        <w:t>A modest interview study can still be worthwhile, provided its conclusions stay modest too.</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2">
        <w:r>
          <w:rPr>
            <w:color w:val="0000EE"/>
            <w:u w:val="single"/>
          </w:rPr>
          <w:t>[6]</w:t>
        </w:r>
      </w:hyperlink>
      <w:r>
        <w:t xml:space="preserve">- Paragraph 4: </w:t>
      </w:r>
      <w:hyperlink r:id="rId11">
        <w:r>
          <w:rPr>
            <w:color w:val="0000EE"/>
            <w:u w:val="single"/>
          </w:rPr>
          <w:t>[4]</w:t>
        </w:r>
      </w:hyperlink>
      <w:r>
        <w:t xml:space="preserve">, </w:t>
      </w:r>
      <w:hyperlink r:id="rId12">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https://www.thecollegefix.com/trump-nih-funds-study-on-indigenous-2s-lgbtq-plwh-and-health-disparities/</w:t>
        </w:r>
      </w:hyperlink>
      <w:r>
        <w:t xml:space="preserve"> - Please view link - unable to able to access data</w:t>
      </w:r>
      <w:r/>
    </w:p>
    <w:p>
      <w:pPr>
        <w:pStyle w:val="ListNumber"/>
        <w:spacing w:line="240" w:lineRule="auto"/>
        <w:ind w:left="720"/>
      </w:pPr>
      <w:r/>
      <w:hyperlink r:id="rId9">
        <w:r>
          <w:rPr>
            <w:color w:val="0000EE"/>
            <w:u w:val="single"/>
          </w:rPr>
          <w:t>https://www.nih.gov/about-nih/nih-almanac/national-institute-minority-health-health-disparities-nimhd</w:t>
        </w:r>
      </w:hyperlink>
      <w:r>
        <w:t xml:space="preserve"> - The National Institute on Minority Health and Health Disparities (NIMHD) is dedicated to advancing research on health disparities affecting minority populations. NIMHD coordinates community-based research and leadership to reduce disparities in health outcomes, including those related to COVID-19. The institute supports studies that offer comprehensive, county-level estimates of life expectancy in the US, highlighting differences among racial and ethnic groups. Additionally, NIMHD funds research that quantifies the economic burden of health disparities, estimating costs of $451 billion in 2018, a 41% increase from previous estimates.</w:t>
      </w:r>
      <w:r/>
    </w:p>
    <w:p>
      <w:pPr>
        <w:pStyle w:val="ListNumber"/>
        <w:spacing w:line="240" w:lineRule="auto"/>
        <w:ind w:left="720"/>
      </w:pPr>
      <w:r/>
      <w:hyperlink r:id="rId10">
        <w:r>
          <w:rPr>
            <w:color w:val="0000EE"/>
            <w:u w:val="single"/>
          </w:rPr>
          <w:t>https://prevention.nih.gov/research-priorities/health-disparities</w:t>
        </w:r>
      </w:hyperlink>
      <w:r>
        <w:t xml:space="preserve"> - The NIH Office of Disease Prevention focuses on health disparities research, providing resources for researchers such as the HDPulse Data Portal and the PhenX Toolkit. These tools assist in understanding minority health, health disparities, and their determinants. The office also offers information on funding opportunities and collaborates with various NIH institutes and federal partners to address health disparities. Notable partners include the National Institute on Minority Health and Health Disparities (NIMHD) and the NIH Tribal Health Research Office (THRO).</w:t>
      </w:r>
      <w:r/>
    </w:p>
    <w:p>
      <w:pPr>
        <w:pStyle w:val="ListNumber"/>
        <w:spacing w:line="240" w:lineRule="auto"/>
        <w:ind w:left="720"/>
      </w:pPr>
      <w:r/>
      <w:hyperlink r:id="rId11">
        <w:r>
          <w:rPr>
            <w:color w:val="0000EE"/>
            <w:u w:val="single"/>
          </w:rPr>
          <w:t>https://pmc.ncbi.nlm.nih.gov/articles/PMC3935708/</w:t>
        </w:r>
      </w:hyperlink>
      <w:r>
        <w:t xml:space="preserve"> - A study published in the journal 'Prevention Science' examined NIH-funded research on the health of lesbian, gay, bisexual, and transgender (LGBT) populations. The analysis found that between 1989 and 2011, NIH funded 628 studies concerning LGBT health, with 79.1% focusing on HIV/AIDS. The study highlighted a significant underrepresentation of research on other health topics affecting LGBT individuals, such as mental health and substance use, and called for increased funding in these areas to address health inequities.</w:t>
      </w:r>
      <w:r/>
    </w:p>
    <w:p>
      <w:pPr>
        <w:pStyle w:val="ListNumber"/>
        <w:spacing w:line="240" w:lineRule="auto"/>
        <w:ind w:left="720"/>
      </w:pPr>
      <w:r/>
      <w:hyperlink r:id="rId13">
        <w:r>
          <w:rPr>
            <w:color w:val="0000EE"/>
            <w:u w:val="single"/>
          </w:rPr>
          <w:t>https://donoharmmedicine.org/in-the-news/2026/07/07/nih-grant-gender-diverse-youth-college-fix/</w:t>
        </w:r>
      </w:hyperlink>
      <w:r>
        <w:t xml:space="preserve"> - In July 2026, the National Institutes of Health awarded nearly half a million dollars to study 'gender-affirming care for BIPOC and rural gender diverse youth.' The funding, which continued after President Trump's inauguration, has been criticized by medical reform group Do No Harm. Ian Kingsbury, a representative of the group, described the grant as an example of the NIH's ideological corruption and questioned the evidence supporting the mental health benefits of gender-affirming care.</w:t>
      </w:r>
      <w:r/>
    </w:p>
    <w:p>
      <w:pPr>
        <w:pStyle w:val="ListNumber"/>
        <w:spacing w:line="240" w:lineRule="auto"/>
        <w:ind w:left="720"/>
      </w:pPr>
      <w:r/>
      <w:hyperlink r:id="rId12">
        <w:r>
          <w:rPr>
            <w:color w:val="0000EE"/>
            <w:u w:val="single"/>
          </w:rPr>
          <w:t>https://pubmed.ncbi.nlm.nih.gov/31152330/</w:t>
        </w:r>
      </w:hyperlink>
      <w:r>
        <w:t xml:space="preserve"> - An article published in 'Prevention Science' discusses the need for intervention science to advance underrepresented perspectives and Indigenous self-determination in health. The authors argue that traditional intervention research often overlooks Indigenous knowledge systems and self-determination, leading to ineffective health interventions. They advocate for research approaches that incorporate Indigenous perspectives and promote self-determination to improve health outcomes in Indigenous communities.</w:t>
      </w:r>
      <w:r/>
    </w:p>
    <w:p>
      <w:pPr>
        <w:pStyle w:val="ListNumber"/>
        <w:spacing w:line="240" w:lineRule="auto"/>
        <w:ind w:left="720"/>
      </w:pPr>
      <w:r/>
      <w:hyperlink r:id="rId14">
        <w:r>
          <w:rPr>
            <w:color w:val="0000EE"/>
            <w:u w:val="single"/>
          </w:rPr>
          <w:t>https://pubmed.ncbi.nlm.nih.gov/29110278/</w:t>
        </w:r>
      </w:hyperlink>
      <w:r>
        <w:t xml:space="preserve"> - A study published in 'Prevention Science' emphasizes the importance of research to promote health equity in Indigenous communities. The authors discuss the economic and biopsychosocial consequences of health disparities among Indigenous populations and advocate for research that addresses these disparities. They highlight the need for culturally appropriate interventions and the incorporation of Indigenous knowledge systems to improve health outcomes and promote self-determination in Indigenous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ih.gov/about-nih/nih-almanac/national-institute-minority-health-health-disparities-nimhd" TargetMode="External"/><Relationship Id="rId10" Type="http://schemas.openxmlformats.org/officeDocument/2006/relationships/hyperlink" Target="https://prevention.nih.gov/research-priorities/health-disparities" TargetMode="External"/><Relationship Id="rId11" Type="http://schemas.openxmlformats.org/officeDocument/2006/relationships/hyperlink" Target="https://pmc.ncbi.nlm.nih.gov/articles/PMC3935708/" TargetMode="External"/><Relationship Id="rId12" Type="http://schemas.openxmlformats.org/officeDocument/2006/relationships/hyperlink" Target="https://pubmed.ncbi.nlm.nih.gov/31152330/" TargetMode="External"/><Relationship Id="rId13" Type="http://schemas.openxmlformats.org/officeDocument/2006/relationships/hyperlink" Target="https://donoharmmedicine.org/in-the-news/2026/07/07/nih-grant-gender-diverse-youth-college-fix/" TargetMode="External"/><Relationship Id="rId14" Type="http://schemas.openxmlformats.org/officeDocument/2006/relationships/hyperlink" Target="https://pubmed.ncbi.nlm.nih.gov/29110278/" TargetMode="External"/><Relationship Id="rId15" Type="http://schemas.openxmlformats.org/officeDocument/2006/relationships/hyperlink" Target="https://www.thecollegefix.com/trump-nih-funds-study-on-indigenous-2s-lgbtq-plwh-and-health-dispar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