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Southampton council backs transgender guidance motion amid equality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Southampton councillors have backed a motion seeking clearer transgender guidance for local services, as the city weighs competing concerns around dignity, privacy and safeguarding. The decision, led by the council's first openly transgender member, is likely to shape discussions about public toilets, schools and the practical impact of equality rules.</w:t>
      </w:r>
      <w:r/>
    </w:p>
    <w:p>
      <w:pPr>
        <w:pStyle w:val="Heading2"/>
      </w:pPr>
      <w:r>
        <w:t>Essential Takeaways</w:t>
      </w:r>
      <w:r/>
      <w:r/>
    </w:p>
    <w:p>
      <w:pPr>
        <w:pStyle w:val="ListBullet"/>
        <w:spacing w:line="240" w:lineRule="auto"/>
        <w:ind w:left="720"/>
      </w:pPr>
      <w:r/>
      <w:r>
        <w:rPr>
          <w:b/>
        </w:rPr>
        <w:t>Motion approved:</w:t>
      </w:r>
      <w:r>
        <w:t xml:space="preserve"> Councillors voted in favour of seeking workable guidance from the Local Government Association and asking ministers to review the equality framework.</w:t>
      </w:r>
      <w:r/>
    </w:p>
    <w:p>
      <w:pPr>
        <w:pStyle w:val="ListBullet"/>
        <w:spacing w:line="240" w:lineRule="auto"/>
        <w:ind w:left="720"/>
      </w:pPr>
      <w:r/>
      <w:r>
        <w:rPr>
          <w:b/>
        </w:rPr>
        <w:t>Public services under review:</w:t>
      </w:r>
      <w:r>
        <w:t xml:space="preserve"> A report will examine the effect of current guidance on council-run public toilets.</w:t>
      </w:r>
      <w:r/>
    </w:p>
    <w:p>
      <w:pPr>
        <w:pStyle w:val="ListBullet"/>
        <w:spacing w:line="240" w:lineRule="auto"/>
        <w:ind w:left="720"/>
      </w:pPr>
      <w:r/>
      <w:r>
        <w:rPr>
          <w:b/>
        </w:rPr>
        <w:t>Schools included:</w:t>
      </w:r>
      <w:r>
        <w:t xml:space="preserve"> A separate scrutiny report will consider how updated guidance affects children and families.</w:t>
      </w:r>
      <w:r/>
    </w:p>
    <w:p>
      <w:pPr>
        <w:pStyle w:val="ListBullet"/>
        <w:spacing w:line="240" w:lineRule="auto"/>
        <w:ind w:left="720"/>
      </w:pPr>
      <w:r/>
      <w:r>
        <w:rPr>
          <w:b/>
        </w:rPr>
        <w:t>Debate remains divided:</w:t>
      </w:r>
      <w:r>
        <w:t xml:space="preserve"> Supporters stressed inclusion, while opponents raised questions about privacy, safeguarding and single-sex services.</w:t>
      </w:r>
      <w:r/>
    </w:p>
    <w:p>
      <w:pPr>
        <w:pStyle w:val="ListBullet"/>
        <w:spacing w:line="240" w:lineRule="auto"/>
        <w:ind w:left="720"/>
      </w:pPr>
      <w:r/>
      <w:r>
        <w:rPr>
          <w:b/>
        </w:rPr>
        <w:t>A personal appeal:</w:t>
      </w:r>
      <w:r>
        <w:t xml:space="preserve"> Misty Burgess said transgender residents were frightened and needed to know they had support.</w:t>
      </w:r>
      <w:r/>
      <w:r/>
    </w:p>
    <w:p>
      <w:pPr>
        <w:pStyle w:val="Heading2"/>
      </w:pPr>
      <w:r>
        <w:t>Southampton seeks clearer transgender guidance</w:t>
      </w:r>
      <w:r/>
    </w:p>
    <w:p>
      <w:r/>
      <w:r>
        <w:t>The motion was tabled by Misty Burgess, the city's first openly transgender councillor, after transgender residents contacted her with concerns about guidance from the Equality and Human Rights Commission. According to the Daily Echo, she told councillors that many people in her community felt exhausted, hurt and afraid.</w:t>
      </w:r>
      <w:r/>
    </w:p>
    <w:p>
      <w:r/>
      <w:r>
        <w:t>That emotional tone shaped the meeting. Burgess argued that Southampton had both the ability and the responsibility to stand up for a group she described as especially vulnerable to discrimination. Local Green Party material has also presented the vote as part of a wider push for better services for transgender residents.</w:t>
      </w:r>
      <w:r/>
    </w:p>
    <w:p>
      <w:r/>
      <w:r>
        <w:t>The council's decision doesn't settle every practical question. Instead, it starts a process that could produce more detailed advice for staff, services and elected members.</w:t>
      </w:r>
      <w:r/>
    </w:p>
    <w:p>
      <w:pPr>
        <w:pStyle w:val="Heading2"/>
      </w:pPr>
      <w:r>
        <w:t>Why the debate has become so heated</w:t>
      </w:r>
      <w:r/>
    </w:p>
    <w:p>
      <w:r/>
      <w:r>
        <w:t>At the heart of the disagreement is how councils should apply equality law in real-world settings. Supporters of the motion said transgender people need acceptance and a clear sense of belonging when using public services. Councillor Alice Kloker described the existing position as unreasonable and called for a city where nobody feels excluded.</w:t>
      </w:r>
      <w:r/>
    </w:p>
    <w:p>
      <w:r/>
      <w:r>
        <w:t>Other councillors said inclusion must be balanced with the needs of women and girls using single-sex services. Councillor Sarah Wood pointed to support settings for women in vulnerable situations, arguing that privacy and comfort can be central to whether someone seeks help at all.</w:t>
      </w:r>
      <w:r/>
    </w:p>
    <w:p>
      <w:r/>
      <w:r>
        <w:t>The debate has also appeared in wider local political arguments, including disputes over symbolic motions and public language. Those arguments show how quickly questions about gender policy can move beyond administration and into the broader culture war.</w:t>
      </w:r>
      <w:r/>
    </w:p>
    <w:p>
      <w:pPr>
        <w:pStyle w:val="Heading2"/>
      </w:pPr>
      <w:r>
        <w:t>What happens next for toilets and schools?</w:t>
      </w:r>
      <w:r/>
    </w:p>
    <w:p>
      <w:r/>
      <w:r>
        <w:t>The council will commission a report on how the EHRC guidance affects public toilets operated by the authority. That work is expected to go before the overview and scrutiny management committee, where councillors can examine the practical details rather than debating the issue in the abstract.</w:t>
      </w:r>
      <w:r/>
    </w:p>
    <w:p>
      <w:r/>
      <w:r>
        <w:t>A second report will be sent to the children and families scrutiny panel. It will look at the effect of new school guidance, an area where staff, parents and pupils often need particularly clear advice. Earlier commentary on gender identity in schools has stressed the importance of treating pupils respectfully, but the latest review suggests the council wants to test how policy works on the ground.</w:t>
      </w:r>
      <w:r/>
    </w:p>
    <w:p>
      <w:r/>
      <w:r>
        <w:t>For residents, the useful question is what changes, if any, follow. Reports can clarify signage, facilities, staff training and complaint processes, but they won't remove the need for sensitive judgement in individual situations.</w:t>
      </w:r>
      <w:r/>
    </w:p>
    <w:p>
      <w:pPr>
        <w:pStyle w:val="Heading2"/>
      </w:pPr>
      <w:r>
        <w:t>Privacy, safeguarding and dignity remain central</w:t>
      </w:r>
      <w:r/>
    </w:p>
    <w:p>
      <w:r/>
      <w:r>
        <w:t>Opposition councillors insisted their concerns were not driven by hostility towards transgender people. Councillor Ross Mould said people should be treated with dignity, while arguing that respecting one group shouldn't mean ignoring another group's worries about privacy or safety.</w:t>
      </w:r>
      <w:r/>
    </w:p>
    <w:p>
      <w:r/>
      <w:r>
        <w:t>Councillor Richard Blackman referred to the Supreme Court's interpretation of sex under the Equality Act and said the council must comply with the law while recognising the concerns of transgender residents. That legal backdrop is important because councils can't simply rely on broad statements of principle. They need policies that are lawful, understandable and workable for frontline staff.</w:t>
      </w:r>
      <w:r/>
    </w:p>
    <w:p>
      <w:r/>
      <w:r>
        <w:t>The challenge is making those principles visible in everyday services. A policy may look tidy on paper, but residents experience it through a toilet door, a reception desk, a changing area or a school conversation. That is where clarity matters most.</w:t>
      </w:r>
      <w:r/>
    </w:p>
    <w:p>
      <w:pPr>
        <w:pStyle w:val="Heading2"/>
      </w:pPr>
      <w:r>
        <w:t>A local decision with wider consequences</w:t>
      </w:r>
      <w:r/>
    </w:p>
    <w:p>
      <w:r/>
      <w:r>
        <w:t>Southampton's vote reflects a broader national argument about how public bodies should respond to changing equality guidance. Local authorities are being asked to navigate legal duties, competing claims of vulnerability and increasingly intense public scrutiny, often without simple answers.</w:t>
      </w:r>
      <w:r/>
    </w:p>
    <w:p>
      <w:r/>
      <w:r>
        <w:t>Burgess closed the debate by arguing that women's rights and transgender rights shouldn't be treated as opposites. Her comments captured the tension behind the motion: supporters want reassurance that transgender people won't be pushed out of public life, while critics want confidence that privacy and safeguarding won't be treated as secondary concerns.</w:t>
      </w:r>
      <w:r/>
    </w:p>
    <w:p>
      <w:r/>
      <w:r>
        <w:t>The forthcoming reports may not end the argument, but they should make it more concrete. For residents, that could be a welcome shift from slogans to practical questions about how services actually work.</w:t>
      </w:r>
      <w:r/>
    </w:p>
    <w:p>
      <w:r/>
      <w:r>
        <w:t>It's a small but significant step towards clearer, more accountable local policy.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9">
        <w:r>
          <w:rPr>
            <w:color w:val="0000EE"/>
            <w:u w:val="single"/>
          </w:rPr>
          <w:t>[1]</w:t>
        </w:r>
      </w:hyperlink>
      <w:r>
        <w:t xml:space="preserve">, </w:t>
      </w:r>
      <w:hyperlink r:id="rId14">
        <w:r>
          <w:rPr>
            <w:color w:val="0000EE"/>
            <w:u w:val="single"/>
          </w:rPr>
          <w:t>[6]</w:t>
        </w:r>
      </w:hyperlink>
      <w:r>
        <w:t xml:space="preserve">- Paragraph 5: </w:t>
      </w:r>
      <w:hyperlink r:id="rId9">
        <w:r>
          <w:rPr>
            <w:color w:val="0000EE"/>
            <w:u w:val="single"/>
          </w:rPr>
          <w:t>[1]</w:t>
        </w:r>
      </w:hyperlink>
      <w:r>
        <w:t xml:space="preserve">, </w:t>
      </w:r>
      <w:hyperlink r:id="rId10">
        <w:r>
          <w:rPr>
            <w:color w:val="0000EE"/>
            <w:u w:val="single"/>
          </w:rPr>
          <w:t>[2]</w:t>
        </w:r>
      </w:hyperlink>
      <w:r>
        <w:t xml:space="preserve">- Paragraph 6: </w:t>
      </w:r>
      <w:hyperlink r:id="rId9">
        <w:r>
          <w:rPr>
            <w:color w:val="0000EE"/>
            <w:u w:val="single"/>
          </w:rPr>
          <w:t>[1]</w:t>
        </w:r>
      </w:hyperlink>
      <w:r>
        <w:t xml:space="preserve">, </w:t>
      </w:r>
      <w:hyperlink r:id="rId12">
        <w:r>
          <w:rPr>
            <w:color w:val="0000EE"/>
            <w:u w:val="single"/>
          </w:rPr>
          <w:t>[4]</w:t>
        </w:r>
      </w:hyperlink>
      <w:r>
        <w:t xml:space="preserve">- Paragraph 7: </w:t>
      </w:r>
      <w:hyperlink r:id="rId9">
        <w:r>
          <w:rPr>
            <w:color w:val="0000EE"/>
            <w:u w:val="single"/>
          </w:rPr>
          <w:t>[1]</w:t>
        </w:r>
      </w:hyperlink>
      <w:r>
        <w:t xml:space="preserve">, </w:t>
      </w:r>
      <w:hyperlink r:id="rId14">
        <w:r>
          <w:rPr>
            <w:color w:val="0000EE"/>
            <w:u w:val="single"/>
          </w:rPr>
          <w:t>[6]</w:t>
        </w:r>
      </w:hyperlink>
      <w:r>
        <w:t xml:space="preserve">- Paragraph 8: </w:t>
      </w:r>
      <w:hyperlink r:id="rId9">
        <w:r>
          <w:rPr>
            <w:color w:val="0000EE"/>
            <w:u w:val="single"/>
          </w:rPr>
          <w:t>[1]</w:t>
        </w:r>
      </w:hyperlink>
      <w:r>
        <w:t xml:space="preserve">, </w:t>
      </w:r>
      <w:hyperlink r:id="rId11">
        <w:r>
          <w:rPr>
            <w:color w:val="0000EE"/>
            <w:u w:val="single"/>
          </w:rPr>
          <w:t>[3]</w:t>
        </w:r>
      </w:hyperlink>
      <w:r>
        <w:t xml:space="preserve">- Paragraph 9: </w:t>
      </w:r>
      <w:hyperlink r:id="rId9">
        <w:r>
          <w:rPr>
            <w:color w:val="0000EE"/>
            <w:u w:val="single"/>
          </w:rPr>
          <w:t>[1]</w:t>
        </w:r>
      </w:hyperlink>
      <w:r>
        <w:t xml:space="preserve">, </w:t>
      </w:r>
      <w:hyperlink r:id="rId12">
        <w:r>
          <w:rPr>
            <w:color w:val="0000EE"/>
            <w:u w:val="single"/>
          </w:rPr>
          <w:t>[4]</w:t>
        </w:r>
      </w:hyperlink>
      <w:r>
        <w:t xml:space="preserve">- Paragraph 10: </w:t>
      </w:r>
      <w:hyperlink r:id="rId9">
        <w:r>
          <w:rPr>
            <w:color w:val="0000EE"/>
            <w:u w:val="single"/>
          </w:rPr>
          <w:t>[1]</w:t>
        </w:r>
      </w:hyperlink>
      <w:r>
        <w:t xml:space="preserve">, </w:t>
      </w:r>
      <w:hyperlink r:id="rId14">
        <w:r>
          <w:rPr>
            <w:color w:val="0000EE"/>
            <w:u w:val="single"/>
          </w:rPr>
          <w:t>[6]</w:t>
        </w:r>
      </w:hyperlink>
      <w:r>
        <w:t xml:space="preserve">- Paragraph 11: </w:t>
      </w:r>
      <w:hyperlink r:id="rId9">
        <w:r>
          <w:rPr>
            <w:color w:val="0000EE"/>
            <w:u w:val="single"/>
          </w:rPr>
          <w:t>[1]</w:t>
        </w:r>
      </w:hyperlink>
      <w:r>
        <w:t xml:space="preserve">, </w:t>
      </w:r>
      <w:hyperlink r:id="rId10">
        <w:r>
          <w:rPr>
            <w:color w:val="0000EE"/>
            <w:u w:val="single"/>
          </w:rPr>
          <w:t>[2]</w:t>
        </w:r>
      </w:hyperlink>
      <w:r>
        <w:t xml:space="preserve">- Paragraph 12: </w:t>
      </w:r>
      <w:hyperlink r:id="rId9">
        <w:r>
          <w:rPr>
            <w:color w:val="0000EE"/>
            <w:u w:val="single"/>
          </w:rPr>
          <w:t>[1]</w:t>
        </w:r>
      </w:hyperlink>
      <w:r>
        <w:t xml:space="preserve">, </w:t>
      </w:r>
      <w:hyperlink r:id="rId11">
        <w:r>
          <w:rPr>
            <w:color w:val="0000EE"/>
            <w:u w:val="single"/>
          </w:rPr>
          <w:t>[3]</w:t>
        </w:r>
      </w:hyperlink>
      <w:r>
        <w:t xml:space="preserve">- Paragraph 13: </w:t>
      </w:r>
      <w:hyperlink r:id="rId9">
        <w:r>
          <w:rPr>
            <w:color w:val="0000EE"/>
            <w:u w:val="single"/>
          </w:rPr>
          <w:t>[1]</w:t>
        </w:r>
      </w:hyperlink>
      <w:r>
        <w:t xml:space="preserve">, </w:t>
      </w:r>
      <w:hyperlink r:id="rId13">
        <w:r>
          <w:rPr>
            <w:color w:val="0000EE"/>
            <w:u w:val="single"/>
          </w:rPr>
          <w:t>[5]</w:t>
        </w:r>
      </w:hyperlink>
      <w:r>
        <w:t xml:space="preserve">- Paragraph 14: </w:t>
      </w:r>
      <w:hyperlink r:id="rId9">
        <w:r>
          <w:rPr>
            <w:color w:val="0000EE"/>
            <w:u w:val="single"/>
          </w:rPr>
          <w:t>[1]</w:t>
        </w:r>
      </w:hyperlink>
      <w:r>
        <w:t xml:space="preserve">, </w:t>
      </w:r>
      <w:hyperlink r:id="rId10">
        <w:r>
          <w:rPr>
            <w:color w:val="0000EE"/>
            <w:u w:val="single"/>
          </w:rPr>
          <w:t>[2]</w:t>
        </w:r>
      </w:hyperlink>
      <w:r>
        <w:t xml:space="preserve">- Paragraph 15: </w:t>
      </w:r>
      <w:hyperlink r:id="rId9">
        <w:r>
          <w:rPr>
            <w:color w:val="0000EE"/>
            <w:u w:val="single"/>
          </w:rPr>
          <w:t>[1]</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https://www.dailyecho.co.uk/news/26632725.southampton-council-backs-motion-transgender-guidance/?ref=rss</w:t>
        </w:r>
      </w:hyperlink>
      <w:r>
        <w:t xml:space="preserve"> - Please view link - unable to able to access data</w:t>
      </w:r>
      <w:r/>
    </w:p>
    <w:p>
      <w:pPr>
        <w:pStyle w:val="ListNumber"/>
        <w:spacing w:line="240" w:lineRule="auto"/>
        <w:ind w:left="720"/>
      </w:pPr>
      <w:r/>
      <w:hyperlink r:id="rId10">
        <w:r>
          <w:rPr>
            <w:color w:val="0000EE"/>
            <w:u w:val="single"/>
          </w:rPr>
          <w:t>https://southampton.greenparty.org.uk/motion-d-equalities-and-human-rights-commission/</w:t>
        </w:r>
      </w:hyperlink>
      <w:r>
        <w:t xml:space="preserve"> - In August 2026, the Equalities and Human Rights Commission (EHRC) released a new version of their Code of Practice for services, public functions, and associations. The Local Government Association (LGA) is working on guidance for local authorities, and Southampton City Council, as a member, has a role in informing their concerns ahead of the publication of said guidance. The council's Equality Statement affirms to uphold the rights of gender identity and reassignment, and fight discrimination. Many councillors have been contacted by trans, non-binary, and intersex residents voicing their concerns about the effect the new guidance would have on them personally as Southampton residents. The council commits to leveraging its influence with private businesses through Business Improvement Districts such as GO Southampton and existing networks such as the Southampton Safe Places Network to list available bathrooms where trans people can use unisex facilities or facilities matching their reassigned gender, and to encourage private businesses to offer such facilities and ensure there is a sufficient number across the city, especially in every district centre. The council also commits to list all ‘single-sex’ or ‘separate-sex’ services provided by the council for which there is ‘legitimate reason’ to exclude people from services aligning with their reassigned gender, ensure there are suitable alternative provisions for people affected by these exclusions that do not require people to enter spaces that do not align with their reassigned gender, and put out an affirmative statement confirming that trans, non-binary, and intersex people are able to use all other services according to their reassigned gender and are welcome, wanted, and protected in this city as part of their commitment to be a ‘City of Sanctuary’. The council resolves that the Leader write to the LGA to put forward this Council’s perspective that any guidance MUST be both clear and workable while respecting and maintaining trans+ people’s rights, and to write to the new Prime Minister, Minister for Women and Equalities, and Minister for Education, urging them to take legislative action to create an equalities framework that protects trans+ people’s safety, dignity, and humanity; clarify the current legislative protections for trans+ people; make the case for additional resourcing, guidance, and training for Local Authorities; commission a report to come to OSMC on how the new guidance affects council-run public toilets and suggested future policy – written with an intersectional lens – to ensure that everyone in Southampton can access appropriate public hygiene facilities; and commission a report into the effects of the new KCSIE guidance on local schools to be presented to the Children and Families Scrutiny Panel, with suggestions for how the guidance can be followed whilst respecting the safety and dignity of trans children. (</w:t>
      </w:r>
      <w:hyperlink r:id="rId15">
        <w:r>
          <w:rPr>
            <w:color w:val="0000EE"/>
            <w:u w:val="single"/>
          </w:rPr>
          <w:t>southampton.greenparty.org.uk</w:t>
        </w:r>
      </w:hyperlink>
      <w:r>
        <w:t>)</w:t>
      </w:r>
      <w:r/>
    </w:p>
    <w:p>
      <w:pPr>
        <w:pStyle w:val="ListNumber"/>
        <w:spacing w:line="240" w:lineRule="auto"/>
        <w:ind w:left="720"/>
      </w:pPr>
      <w:r/>
      <w:hyperlink r:id="rId11">
        <w:r>
          <w:rPr>
            <w:color w:val="0000EE"/>
            <w:u w:val="single"/>
          </w:rPr>
          <w:t>https://southampton.greenparty.org.uk/2026/09/24/last-night-our-city-council-voted-to-work-towards-improved-services-for-the-trans-community/</w:t>
        </w:r>
      </w:hyperlink>
      <w:r>
        <w:t xml:space="preserve"> - During a full council meeting, Green councillor Misty Burgess moved a motion calling for improved services for the trans community. She highlighted concerns about the EHRC's new Code of Practice and its potential impact on trans, non-binary, and intersex residents. The motion was passed, with a few councillors voting against it. The motion can be found here: (</w:t>
      </w:r>
      <w:hyperlink r:id="rId15">
        <w:r>
          <w:rPr>
            <w:color w:val="0000EE"/>
            <w:u w:val="single"/>
          </w:rPr>
          <w:t>southampton.greenparty.org.uk</w:t>
        </w:r>
      </w:hyperlink>
      <w:r>
        <w:t>)</w:t>
      </w:r>
      <w:r/>
    </w:p>
    <w:p>
      <w:pPr>
        <w:pStyle w:val="ListNumber"/>
        <w:spacing w:line="240" w:lineRule="auto"/>
        <w:ind w:left="720"/>
      </w:pPr>
      <w:r/>
      <w:hyperlink r:id="rId12">
        <w:r>
          <w:rPr>
            <w:color w:val="0000EE"/>
            <w:u w:val="single"/>
          </w:rPr>
          <w:t>https://www.in-common.co.uk/2026/07/20/readers-letter-reform-flag-motion-sewing-division-in-our-society/</w:t>
        </w:r>
      </w:hyperlink>
      <w:r>
        <w:t xml:space="preserve"> - Green councillor Misty Burgess criticises a motion by Reform councillor Philip Crook to limit the flags flown at the Civic Centre, viewing it as an attempt to intimidate and alienate minority communities. She questions the council's decision to allow the motion on the agenda and expresses concern over the message it sends to trans, non-binary, and intersex residents. (</w:t>
      </w:r>
      <w:hyperlink r:id="rId16">
        <w:r>
          <w:rPr>
            <w:color w:val="0000EE"/>
            <w:u w:val="single"/>
          </w:rPr>
          <w:t>in-common.co.uk</w:t>
        </w:r>
      </w:hyperlink>
      <w:r>
        <w:t>)</w:t>
      </w:r>
      <w:r/>
    </w:p>
    <w:p>
      <w:pPr>
        <w:pStyle w:val="ListNumber"/>
        <w:spacing w:line="240" w:lineRule="auto"/>
        <w:ind w:left="720"/>
      </w:pPr>
      <w:r/>
      <w:hyperlink r:id="rId13">
        <w:r>
          <w:rPr>
            <w:color w:val="0000EE"/>
            <w:u w:val="single"/>
          </w:rPr>
          <w:t>https://www.in-common.co.uk/2026/07/15/cheers-from-the-gallery-as-southampton-reform-councillor-withdraws-flag-banning-motion/</w:t>
        </w:r>
      </w:hyperlink>
      <w:r>
        <w:t xml:space="preserve"> - Reform councillor Philip Crook withdrew a controversial motion to ban all flags except the Union Jack, St George Cross, and Southampton City flags from being flown at the Civic Centre. The motion had been widely criticised, and a large protest was held outside the Civic Centre. Following the meeting, a spokesperson for Trans Pride Southampton expressed relief but noted that they were confident the motion would not pass. (</w:t>
      </w:r>
      <w:hyperlink r:id="rId17">
        <w:r>
          <w:rPr>
            <w:color w:val="0000EE"/>
            <w:u w:val="single"/>
          </w:rPr>
          <w:t>in-common.co.uk</w:t>
        </w:r>
      </w:hyperlink>
      <w:r>
        <w:t>)</w:t>
      </w:r>
      <w:r/>
    </w:p>
    <w:p>
      <w:pPr>
        <w:pStyle w:val="ListNumber"/>
        <w:spacing w:line="240" w:lineRule="auto"/>
        <w:ind w:left="720"/>
      </w:pPr>
      <w:r/>
      <w:hyperlink r:id="rId14">
        <w:r>
          <w:rPr>
            <w:color w:val="0000EE"/>
            <w:u w:val="single"/>
          </w:rPr>
          <w:t>https://www.in-common.co.uk/2023/12/30/opinion-schools-should-respect-pupils-gender-identity/</w:t>
        </w:r>
      </w:hyperlink>
      <w:r>
        <w:t xml:space="preserve"> - Trans Pride Southampton opposes government guidance on transgender pupils, which states that teachers must speak to parents if a pupil mentions a preferred name and do not need to respect a pupil's preferred pronouns or allow a pupil to socially transition. They argue that schools and teachers have a duty to respect pupils' wishes to be treated as they wish, including any preferred names or pronouns different to those of their birth sex. (</w:t>
      </w:r>
      <w:hyperlink r:id="rId18">
        <w:r>
          <w:rPr>
            <w:color w:val="0000EE"/>
            <w:u w:val="single"/>
          </w:rPr>
          <w:t>in-common.co.uk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ilyecho.co.uk/news/26632725.southampton-council-backs-motion-transgender-guidance/?ref=rss" TargetMode="External"/><Relationship Id="rId10" Type="http://schemas.openxmlformats.org/officeDocument/2006/relationships/hyperlink" Target="https://southampton.greenparty.org.uk/motion-d-equalities-and-human-rights-commission/" TargetMode="External"/><Relationship Id="rId11" Type="http://schemas.openxmlformats.org/officeDocument/2006/relationships/hyperlink" Target="https://southampton.greenparty.org.uk/2026/09/24/last-night-our-city-council-voted-to-work-towards-improved-services-for-the-trans-community/" TargetMode="External"/><Relationship Id="rId12" Type="http://schemas.openxmlformats.org/officeDocument/2006/relationships/hyperlink" Target="https://www.in-common.co.uk/2026/07/20/readers-letter-reform-flag-motion-sewing-division-in-our-society/" TargetMode="External"/><Relationship Id="rId13" Type="http://schemas.openxmlformats.org/officeDocument/2006/relationships/hyperlink" Target="https://www.in-common.co.uk/2026/07/15/cheers-from-the-gallery-as-southampton-reform-councillor-withdraws-flag-banning-motion/" TargetMode="External"/><Relationship Id="rId14" Type="http://schemas.openxmlformats.org/officeDocument/2006/relationships/hyperlink" Target="https://www.in-common.co.uk/2023/12/30/opinion-schools-should-respect-pupils-gender-identity/" TargetMode="External"/><Relationship Id="rId15" Type="http://schemas.openxmlformats.org/officeDocument/2006/relationships/hyperlink" Target="https://southampton.greenparty.org.uk/motion-d-equalities-and-human-rights-commission/?utm_source=openai" TargetMode="External"/><Relationship Id="rId16" Type="http://schemas.openxmlformats.org/officeDocument/2006/relationships/hyperlink" Target="https://www.in-common.co.uk/2026/07/20/readers-letter-reform-flag-motion-sewing-division-in-our-society/?utm_source=openai" TargetMode="External"/><Relationship Id="rId17" Type="http://schemas.openxmlformats.org/officeDocument/2006/relationships/hyperlink" Target="https://www.in-common.co.uk/2026/07/15/cheers-from-the-gallery-as-southampton-reform-councillor-withdraws-flag-banning-motion/?utm_source=openai" TargetMode="External"/><Relationship Id="rId18" Type="http://schemas.openxmlformats.org/officeDocument/2006/relationships/hyperlink" Target="https://www.in-common.co.uk/2023/12/30/opinion-schools-should-respect-pupils-gender-identit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