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Visible Support for Trans Youth Matters More Than Ever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and advocates are urging allies to move beyond symbolic support as transgender young people face growing pressure around healthcare, education and everyday safety. The message is simple but urgent: listening, speaking up and connecting people with trusted resources can help build the welcoming world every child deserves.</w:t>
      </w:r>
      <w:r/>
    </w:p>
    <w:p>
      <w:pPr>
        <w:pStyle w:val="Heading2"/>
      </w:pPr>
      <w:r>
        <w:t>Essential Takeaways</w:t>
      </w:r>
      <w:r/>
      <w:r/>
    </w:p>
    <w:p>
      <w:pPr>
        <w:pStyle w:val="ListBullet"/>
        <w:spacing w:line="240" w:lineRule="auto"/>
        <w:ind w:left="720"/>
      </w:pPr>
      <w:r/>
      <w:r>
        <w:rPr>
          <w:b/>
        </w:rPr>
        <w:t>Visibility matters:</w:t>
      </w:r>
      <w:r>
        <w:t xml:space="preserve"> Support is most useful when it includes action, not just badges, flags or social posts.</w:t>
      </w:r>
      <w:r/>
    </w:p>
    <w:p>
      <w:pPr>
        <w:pStyle w:val="ListBullet"/>
        <w:spacing w:line="240" w:lineRule="auto"/>
        <w:ind w:left="720"/>
      </w:pPr>
      <w:r/>
      <w:r>
        <w:rPr>
          <w:b/>
        </w:rPr>
        <w:t>Daily dignity counts:</w:t>
      </w:r>
      <w:r>
        <w:t xml:space="preserve"> Bathroom access, healthcare and respectful treatment affect young people’s safety and wellbeing.</w:t>
      </w:r>
      <w:r/>
    </w:p>
    <w:p>
      <w:pPr>
        <w:pStyle w:val="ListBullet"/>
        <w:spacing w:line="240" w:lineRule="auto"/>
        <w:ind w:left="720"/>
      </w:pPr>
      <w:r/>
      <w:r>
        <w:rPr>
          <w:b/>
        </w:rPr>
        <w:t>Stories can challenge misinformation:</w:t>
      </w:r>
      <w:r>
        <w:t xml:space="preserve"> Personal accounts make complex issues human and harder to dismiss.</w:t>
      </w:r>
      <w:r/>
    </w:p>
    <w:p>
      <w:pPr>
        <w:pStyle w:val="ListBullet"/>
        <w:spacing w:line="240" w:lineRule="auto"/>
        <w:ind w:left="720"/>
      </w:pPr>
      <w:r/>
      <w:r>
        <w:rPr>
          <w:b/>
        </w:rPr>
        <w:t>Help is available:</w:t>
      </w:r>
      <w:r>
        <w:t xml:space="preserve"> Organisations including The Trevor Project and Trans Lifeline offer crisis and community support.</w:t>
      </w:r>
      <w:r/>
    </w:p>
    <w:p>
      <w:pPr>
        <w:pStyle w:val="ListBullet"/>
        <w:spacing w:line="240" w:lineRule="auto"/>
        <w:ind w:left="720"/>
      </w:pPr>
      <w:r/>
      <w:r>
        <w:rPr>
          <w:b/>
        </w:rPr>
        <w:t>Allies have a role:</w:t>
      </w:r>
      <w:r>
        <w:t xml:space="preserve"> Schools, healthcare settings, families and workplaces can make inclusion practical and visible.</w:t>
      </w:r>
      <w:r/>
      <w:r/>
    </w:p>
    <w:p>
      <w:pPr>
        <w:pStyle w:val="Heading2"/>
      </w:pPr>
      <w:r>
        <w:t>Support needs to be more than a symbol</w:t>
      </w:r>
      <w:r/>
    </w:p>
    <w:p>
      <w:r/>
      <w:r>
        <w:t>A rainbow sticker can open a door, but it can't carry the whole weight of support. For transgender children and teenagers, the reassuring sign matters most when it's backed by someone willing to challenge a cruel joke, correct misinformation or make sure a young person is treated fairly.</w:t>
      </w:r>
      <w:r/>
    </w:p>
    <w:p>
      <w:r/>
      <w:r>
        <w:t>The wider landscape remains difficult. Human Rights Watch has warned that access to gender-affirming care for trans young people is under threat in the United States, making clear why families often feel they're navigating both personal pressures and political battles. The result can be exhausting, especially for teenagers who would rather be thinking about friends, hobbies and what to eat after school.</w:t>
      </w:r>
      <w:r/>
    </w:p>
    <w:p>
      <w:pPr>
        <w:pStyle w:val="Heading2"/>
      </w:pPr>
      <w:r>
        <w:t>Everyday safety is part of wellbeing</w:t>
      </w:r>
      <w:r/>
    </w:p>
    <w:p>
      <w:r/>
      <w:r>
        <w:t>Healthcare often receives the most attention, but ordinary routines matter too. Access to safe, appropriate bathrooms is a basic part of school life, and restrictions can turn a short break between lessons into a source of fear and scrutiny.</w:t>
      </w:r>
      <w:r/>
    </w:p>
    <w:p>
      <w:r/>
      <w:r>
        <w:t>The National Center for Lesbian Rights highlights the importance of protecting transgender young people in schools and other settings. Meanwhile, TransEquality's guidance on bathroom access points to the practical reality: inclusion isn't an abstract idea, but something that shapes whether a child can move through the day without being singled out.</w:t>
      </w:r>
      <w:r/>
    </w:p>
    <w:p>
      <w:pPr>
        <w:pStyle w:val="Heading2"/>
      </w:pPr>
      <w:r>
        <w:t>Why personal stories still cut through</w:t>
      </w:r>
      <w:r/>
    </w:p>
    <w:p>
      <w:r/>
      <w:r>
        <w:t>Facts are essential, but stories often reach people first. A young person's favourite drink, a treasured fictional character or a soft, familiar piece of clothing can reveal the ordinary life behind a public argument. That detail matters because it brings the conversation back to a person, rather than leaving them reduced to a headline.</w:t>
      </w:r>
      <w:r/>
    </w:p>
    <w:p>
      <w:r/>
      <w:r>
        <w:t>There are more ways to share those stories than ever, from memoirs and films to comics, theatre and social media. The Trevor Project's resources also show how important it is to pair visibility with direct support, particularly when a young person is distressed or unsure where to turn.</w:t>
      </w:r>
      <w:r/>
    </w:p>
    <w:p>
      <w:pPr>
        <w:pStyle w:val="Heading2"/>
      </w:pPr>
      <w:r>
        <w:t>What practical allyship looks like</w:t>
      </w:r>
      <w:r/>
    </w:p>
    <w:p>
      <w:r/>
      <w:r>
        <w:t>Start by listening without asking a trans child to educate everyone around them. Learn the basics from reliable organisations, use the right name and pronouns, and ask schools or healthcare providers how they protect privacy and dignity. If a conversation becomes hostile, staying quiet may feel polite, but it can leave the most vulnerable person carrying the discomfort alone.</w:t>
      </w:r>
      <w:r/>
    </w:p>
    <w:p>
      <w:r/>
      <w:r>
        <w:t>Support can also be practical. The Transgender Law Center's resources point people towards community and advocacy information, while The Center provides support for transgender and gender-nonconforming people in New York and beyond. Donating, volunteering or sharing accurate resources can turn goodwill into something a family can actually use.</w:t>
      </w:r>
      <w:r/>
    </w:p>
    <w:p>
      <w:pPr>
        <w:pStyle w:val="Heading2"/>
      </w:pPr>
      <w:r>
        <w:t>Keep the door open when someone is struggling</w:t>
      </w:r>
      <w:r/>
    </w:p>
    <w:p>
      <w:r/>
      <w:r>
        <w:t>If a young person talks about hopelessness, self-harm or suicide, take them seriously and stay with them while seeking immediate help. In the US, The Trevor Project offers crisis support for LGBTQ young people, while Trans Lifeline provides peer support for trans and gender-diverse people. In an emergency, contact local emergency services.</w:t>
      </w:r>
      <w:r/>
    </w:p>
    <w:p>
      <w:r/>
      <w:r>
        <w:t>No single conversation can fix a hostile political climate, and no parent should have to carry that burden alone. But a visible, informed adult can make a frightening moment less lonely. Sometimes the first step towards safety is simply showing that the door is open and that the young person doesn't have to walk through it alone.</w:t>
      </w:r>
      <w:r/>
    </w:p>
    <w:p>
      <w:r/>
      <w:r>
        <w:t>Small acts of courage, repeated often, can make belonging feel real.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[4]</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[5]</w:t>
        </w:r>
      </w:hyperlink>
      <w:r>
        <w:t xml:space="preserve">, </w:t>
      </w:r>
      <w:hyperlink r:id="rId13">
        <w:r>
          <w:rPr>
            <w:color w:val="0000EE"/>
            <w:u w:val="single"/>
          </w:rPr>
          <w:t>[6]</w:t>
        </w:r>
      </w:hyperlink>
      <w:r>
        <w:t xml:space="preserve">- Paragraph 7: </w:t>
      </w:r>
      <w:hyperlink r:id="rId12">
        <w:r>
          <w:rPr>
            <w:color w:val="0000EE"/>
            <w:u w:val="single"/>
          </w:rPr>
          <w:t>[3]</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4">
        <w:r>
          <w:rPr>
            <w:color w:val="0000EE"/>
            <w:u w:val="single"/>
          </w:rPr>
          <w:t>[4]</w:t>
        </w:r>
      </w:hyperlink>
      <w:r>
        <w:t xml:space="preserve">- Paragraph 9: </w:t>
      </w:r>
      <w:hyperlink r:id="rId10">
        <w:r>
          <w:rPr>
            <w:color w:val="0000EE"/>
            <w:u w:val="single"/>
          </w:rPr>
          <w:t>[2]</w:t>
        </w:r>
      </w:hyperlink>
      <w:r>
        <w:t xml:space="preserve">, </w:t>
      </w:r>
      <w:hyperlink r:id="rId14">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0">
        <w:r>
          <w:rPr>
            <w:color w:val="0000EE"/>
            <w:u w:val="single"/>
          </w:rPr>
          <w:t>[2]</w:t>
        </w:r>
      </w:hyperlink>
      <w:r>
        <w:t xml:space="preserve">, </w:t>
      </w:r>
      <w:hyperlink r:id="rId14">
        <w:r>
          <w:rPr>
            <w:color w:val="0000EE"/>
            <w:u w:val="single"/>
          </w:rPr>
          <w:t>[4]</w:t>
        </w:r>
      </w:hyperlink>
      <w:r>
        <w:t xml:space="preserve">- Paragraph 12: </w:t>
      </w:r>
      <w:hyperlink r:id="rId12">
        <w:r>
          <w:rPr>
            <w:color w:val="0000EE"/>
            <w:u w:val="single"/>
          </w:rPr>
          <w:t>[3]</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4">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[5]</w:t>
        </w:r>
      </w:hyperlink>
      <w:r>
        <w:t xml:space="preserve">- Paragraph 15: </w:t>
      </w:r>
      <w:hyperlink r:id="rId10">
        <w:r>
          <w:rPr>
            <w:color w:val="0000EE"/>
            <w:u w:val="single"/>
          </w:rPr>
          <w:t>[2]</w:t>
        </w:r>
      </w:hyperlink>
      <w:r>
        <w:t xml:space="preserve">, </w:t>
      </w:r>
      <w:hyperlink r:id="rId14">
        <w:r>
          <w:rPr>
            <w:color w:val="0000EE"/>
            <w:u w:val="single"/>
          </w:rPr>
          <w:t>[4]</w:t>
        </w:r>
      </w:hyperlink>
      <w:r>
        <w:t xml:space="preserve">- Paragraph 16: </w:t>
      </w:r>
      <w:hyperlink r:id="rId10">
        <w:r>
          <w:rPr>
            <w:color w:val="0000EE"/>
            <w:u w:val="single"/>
          </w:rPr>
          <w:t>[2]</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https://lambdalegal.org/blogs/us_20261009_the-world-my-trans-daughter-deserved-elyse-thorpe-may/</w:t>
        </w:r>
      </w:hyperlink>
      <w:r>
        <w:t xml:space="preserve"> - Please view link - unable to able to access data</w:t>
      </w:r>
      <w:r/>
    </w:p>
    <w:p>
      <w:pPr>
        <w:pStyle w:val="ListNumber"/>
        <w:spacing w:line="240" w:lineRule="auto"/>
        <w:ind w:left="720"/>
      </w:pPr>
      <w:r/>
      <w:hyperlink r:id="rId10">
        <w:r>
          <w:rPr>
            <w:color w:val="0000EE"/>
            <w:u w:val="single"/>
          </w:rPr>
          <w:t>https://www.thetrevorproject.org/</w:t>
        </w:r>
      </w:hyperlink>
      <w:r>
        <w:t xml:space="preserve"> - The Trevor Project is a leading non-profit organisation dedicated to suicide prevention and crisis intervention for LGBTQ+ young people. They offer 24/7 support through trained counsellors, providing information, resources, and tools to help those in need. Their mission is to end suicide among LGBTQ+ youth by offering support, education, and advocacy. The organisation also provides resources for friends and family, aiming to create a welcoming and loving world for LGBTQ+ individuals.</w:t>
      </w:r>
      <w:r/>
    </w:p>
    <w:p>
      <w:pPr>
        <w:pStyle w:val="ListNumber"/>
        <w:spacing w:line="240" w:lineRule="auto"/>
        <w:ind w:left="720"/>
      </w:pPr>
      <w:r/>
      <w:hyperlink r:id="rId12">
        <w:r>
          <w:rPr>
            <w:color w:val="0000EE"/>
            <w:u w:val="single"/>
          </w:rPr>
          <w:t>https://transequality.org/issues/resources/transgender-people-and-bathroom-access</w:t>
        </w:r>
      </w:hyperlink>
      <w:r>
        <w:t xml:space="preserve"> - The National Center for Transgender Equality (NCTE) provides comprehensive information on the rights of transgender individuals regarding bathroom access. They emphasise that everyone deserves to use the restroom that aligns with their gender identity, highlighting that such access is a basic right protected by the Civil Rights Act of 1964. The NCTE addresses common misconceptions and legal considerations, advocating for policies that ensure safety and dignity for transgender people in public facilities.</w:t>
      </w:r>
      <w:r/>
    </w:p>
    <w:p>
      <w:pPr>
        <w:pStyle w:val="ListNumber"/>
        <w:spacing w:line="240" w:lineRule="auto"/>
        <w:ind w:left="720"/>
      </w:pPr>
      <w:r/>
      <w:hyperlink r:id="rId14">
        <w:r>
          <w:rPr>
            <w:color w:val="0000EE"/>
            <w:u w:val="single"/>
          </w:rPr>
          <w:t>https://www.transhealthhub.org/supportive-resources</w:t>
        </w:r>
      </w:hyperlink>
      <w:r>
        <w:t xml:space="preserve"> - TransHealthHub offers a curated list of supportive resources for transgender teens, young adults, and their families. The platform provides information on peer support, community connections, family guidance, school resources, and assistance in finding affirming care. Acknowledging the challenges faced by transgender youth, especially concerning mental health, TransHealthHub aims to connect individuals with organisations that offer support and resources tailored to their needs.</w:t>
      </w:r>
      <w:r/>
    </w:p>
    <w:p>
      <w:pPr>
        <w:pStyle w:val="ListNumber"/>
        <w:spacing w:line="240" w:lineRule="auto"/>
        <w:ind w:left="720"/>
      </w:pPr>
      <w:r/>
      <w:hyperlink r:id="rId11">
        <w:r>
          <w:rPr>
            <w:color w:val="0000EE"/>
            <w:u w:val="single"/>
          </w:rPr>
          <w:t>https://www.hrw.org/news/2025/02/03/us-trans-youths-access-lifesaving-care-under-threat</w:t>
        </w:r>
      </w:hyperlink>
      <w:r>
        <w:t xml:space="preserve"> - Human Rights Watch reports on the threats to transgender youth's access to gender-affirming healthcare in the United States. An executive order issued in January 2025 aimed to withdraw federal funding and support for such care, potentially jeopardising the availability of essential services for transgender minors. The article discusses the implications of this order and the broader impact on the transgender community's access to necessary medical care.</w:t>
      </w:r>
      <w:r/>
    </w:p>
    <w:p>
      <w:pPr>
        <w:pStyle w:val="ListNumber"/>
        <w:spacing w:line="240" w:lineRule="auto"/>
        <w:ind w:left="720"/>
      </w:pPr>
      <w:r/>
      <w:hyperlink r:id="rId13">
        <w:r>
          <w:rPr>
            <w:color w:val="0000EE"/>
            <w:u w:val="single"/>
          </w:rPr>
          <w:t>https://www.nclrights.org/our-work/youth/transgender-youth/</w:t>
        </w:r>
      </w:hyperlink>
      <w:r>
        <w:t xml:space="preserve"> - The National Center for Lesbian Rights (NCLR) focuses on the unique legal challenges faced by transgender youth. Through litigation and advocacy, NCLR works to ensure that transgender minors have the support and opportunities they need to thrive. The organisation addresses issues such as access to gender-affirming healthcare, protection from discrimination, and the right to participate fully in educational and social activities.</w:t>
      </w:r>
      <w:r/>
    </w:p>
    <w:p>
      <w:pPr>
        <w:pStyle w:val="ListNumber"/>
        <w:spacing w:line="240" w:lineRule="auto"/>
        <w:ind w:left="720"/>
      </w:pPr>
      <w:r/>
      <w:hyperlink r:id="rId15">
        <w:r>
          <w:rPr>
            <w:color w:val="0000EE"/>
            <w:u w:val="single"/>
          </w:rPr>
          <w:t>https://gaycenter.org/tgnc/</w:t>
        </w:r>
      </w:hyperlink>
      <w:r>
        <w:t xml:space="preserve"> - The Center provides a safe and affirming environment for transgender and gender nonconforming (TGNC) individuals. They offer a range of services, including support groups, mental health services, and youth programs. The Centre's mission is to empower TGNC community members to live authentically and safely, addressing the specific needs of transgender youth and their families through various resources and support systems.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mbdalegal.org/blogs/us_20261009_the-world-my-trans-daughter-deserved-elyse-thorpe-may/" TargetMode="External"/><Relationship Id="rId10" Type="http://schemas.openxmlformats.org/officeDocument/2006/relationships/hyperlink" Target="https://www.thetrevorproject.org/" TargetMode="External"/><Relationship Id="rId11" Type="http://schemas.openxmlformats.org/officeDocument/2006/relationships/hyperlink" Target="https://www.hrw.org/news/2025/02/03/us-trans-youths-access-lifesaving-care-under-threat" TargetMode="External"/><Relationship Id="rId12" Type="http://schemas.openxmlformats.org/officeDocument/2006/relationships/hyperlink" Target="https://transequality.org/issues/resources/transgender-people-and-bathroom-access" TargetMode="External"/><Relationship Id="rId13" Type="http://schemas.openxmlformats.org/officeDocument/2006/relationships/hyperlink" Target="https://www.nclrights.org/our-work/youth/transgender-youth/" TargetMode="External"/><Relationship Id="rId14" Type="http://schemas.openxmlformats.org/officeDocument/2006/relationships/hyperlink" Target="https://www.transhealthhub.org/supportive-resources" TargetMode="External"/><Relationship Id="rId15" Type="http://schemas.openxmlformats.org/officeDocument/2006/relationships/hyperlink" Target="https://gaycenter.org/tgn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