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Food Insecurity in Massachusetts Needs New Solutions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than half of LGBTQ+ adults surveyed in Massachusetts faced food insecurity in 2024, highlighting a widening gap that money alone doesn't explain. The new research points to privacy worries, embarrassment and practical hurdles, while suggesting more discreet, community-designed support could help people access nutritious food without feeling exposed.</w:t>
      </w:r>
      <w:r/>
    </w:p>
    <w:p>
      <w:pPr>
        <w:pStyle w:val="Heading2"/>
      </w:pPr>
      <w:r>
        <w:t>Essential Takeaways</w:t>
      </w:r>
      <w:r/>
      <w:r/>
    </w:p>
    <w:p>
      <w:pPr>
        <w:pStyle w:val="ListBullet"/>
        <w:spacing w:line="240" w:lineRule="auto"/>
        <w:ind w:left="720"/>
      </w:pPr>
      <w:r/>
      <w:r>
        <w:rPr>
          <w:b/>
        </w:rPr>
        <w:t>A stark gap:</w:t>
      </w:r>
      <w:r>
        <w:t xml:space="preserve"> 54.9% of LGBTQ+ adults surveyed experienced food insecurity in 2024, compared with 33.3% of non-LGBTQ+ adults.</w:t>
      </w:r>
      <w:r/>
    </w:p>
    <w:p>
      <w:pPr>
        <w:pStyle w:val="ListBullet"/>
        <w:spacing w:line="240" w:lineRule="auto"/>
        <w:ind w:left="720"/>
      </w:pPr>
      <w:r/>
      <w:r>
        <w:rPr>
          <w:b/>
        </w:rPr>
        <w:t>The problem grew:</w:t>
      </w:r>
      <w:r>
        <w:t xml:space="preserve"> Food insecurity rose among LGBTQ+ participants between 2022 and 2024.</w:t>
      </w:r>
      <w:r/>
    </w:p>
    <w:p>
      <w:pPr>
        <w:pStyle w:val="ListBullet"/>
        <w:spacing w:line="240" w:lineRule="auto"/>
        <w:ind w:left="720"/>
      </w:pPr>
      <w:r/>
      <w:r>
        <w:rPr>
          <w:b/>
        </w:rPr>
        <w:t>Support isn't keeping pace:</w:t>
      </w:r>
      <w:r>
        <w:t xml:space="preserve"> Food pantry and SNAP participation changed little despite rising need.</w:t>
      </w:r>
      <w:r/>
    </w:p>
    <w:p>
      <w:pPr>
        <w:pStyle w:val="ListBullet"/>
        <w:spacing w:line="240" w:lineRule="auto"/>
        <w:ind w:left="720"/>
      </w:pPr>
      <w:r/>
      <w:r>
        <w:rPr>
          <w:b/>
        </w:rPr>
        <w:t>Dignity matters:</w:t>
      </w:r>
      <w:r>
        <w:t xml:space="preserve"> Privacy concerns, embarrassment and a wish to remain self-reliant deterred some people from seeking help.</w:t>
      </w:r>
      <w:r/>
    </w:p>
    <w:p>
      <w:pPr>
        <w:pStyle w:val="ListBullet"/>
        <w:spacing w:line="240" w:lineRule="auto"/>
        <w:ind w:left="720"/>
      </w:pPr>
      <w:r/>
      <w:r>
        <w:rPr>
          <w:b/>
        </w:rPr>
        <w:t>More flexible options:</w:t>
      </w:r>
      <w:r>
        <w:t xml:space="preserve"> Participants favoured grocery cards, delivery, collection services and help with SNAP applications.</w:t>
      </w:r>
      <w:r/>
      <w:r/>
    </w:p>
    <w:p>
      <w:pPr>
        <w:pStyle w:val="Heading2"/>
      </w:pPr>
      <w:r>
        <w:t>More than half faced unreliable access to food</w:t>
      </w:r>
      <w:r/>
    </w:p>
    <w:p>
      <w:r/>
      <w:r>
        <w:t xml:space="preserve">The headline figure is difficult to ignore. In 2024, 54.9% of LGBTQ+ adults taking part in the Massachusetts Statewide Food Access Survey reported food insecurity, compared with 33.3% of non-LGBTQ+ adults, according to the study published in JAMA Network Open. That means a basic household pressure - having enough affordable, nourishing food - was far more common in one community than another. </w:t>
      </w:r>
      <w:hyperlink r:id="rId9">
        <w:r>
          <w:rPr>
            <w:color w:val="0000EE"/>
            <w:u w:val="single"/>
          </w:rPr>
          <w:t>[4]</w:t>
        </w:r>
      </w:hyperlink>
      <w:r>
        <w:t xml:space="preserve">, </w:t>
      </w:r>
      <w:hyperlink r:id="rId10">
        <w:r>
          <w:rPr>
            <w:color w:val="0000EE"/>
            <w:u w:val="single"/>
          </w:rPr>
          <w:t>[5]</w:t>
        </w:r>
      </w:hyperlink>
      <w:r/>
    </w:p>
    <w:p>
      <w:r/>
      <w:r>
        <w:t xml:space="preserve">Researchers examined 9,174 adults surveyed between 2022 and 2024. The disparity remained even after they accounted for demographic and economic differences, suggesting that income isn't the whole story. Food insecurity also increased among LGBTQ+ adults during the study period, giving the findings an urgency that extends beyond a single year's snapshot. </w:t>
      </w:r>
      <w:hyperlink r:id="rId11">
        <w:r>
          <w:rPr>
            <w:color w:val="0000EE"/>
            <w:u w:val="single"/>
          </w:rPr>
          <w:t>[2]</w:t>
        </w:r>
      </w:hyperlink>
      <w:r>
        <w:t xml:space="preserve">, </w:t>
      </w:r>
      <w:hyperlink r:id="rId9">
        <w:r>
          <w:rPr>
            <w:color w:val="0000EE"/>
            <w:u w:val="single"/>
          </w:rPr>
          <w:t>[4]</w:t>
        </w:r>
      </w:hyperlink>
      <w:r/>
    </w:p>
    <w:p>
      <w:pPr>
        <w:pStyle w:val="Heading2"/>
      </w:pPr>
      <w:r>
        <w:t>Why financial help alone may not be enough</w:t>
      </w:r>
      <w:r/>
    </w:p>
    <w:p>
      <w:r/>
      <w:r>
        <w:t xml:space="preserve">It's tempting to frame food insecurity purely as a pay-packet problem, especially when food prices are high. But the research indicates that LGBTQ+ adults may encounter additional obstacles, including stigma, discrimination and services that don't feel private or welcoming. Lead author Austin R. Waters said economic differences did not fully explain the gap, according to the Harvard Pilgrim Health Care Institute. </w:t>
      </w:r>
      <w:hyperlink r:id="rId11">
        <w:r>
          <w:rPr>
            <w:color w:val="0000EE"/>
            <w:u w:val="single"/>
          </w:rPr>
          <w:t>[2]</w:t>
        </w:r>
      </w:hyperlink>
      <w:r>
        <w:t xml:space="preserve">, </w:t>
      </w:r>
      <w:hyperlink r:id="rId12">
        <w:r>
          <w:rPr>
            <w:color w:val="0000EE"/>
            <w:u w:val="single"/>
          </w:rPr>
          <w:t>[6]</w:t>
        </w:r>
      </w:hyperlink>
      <w:r/>
    </w:p>
    <w:p>
      <w:r/>
      <w:r>
        <w:t xml:space="preserve">Those barriers can be surprisingly ordinary and deeply personal. Some participants wanted to stay self-reliant, while others felt embarrassed or worried that people they knew might discover they were using a food pantry. A service can be technically available and still feel out of reach if accepting help comes with an unwelcome spotlight. </w:t>
      </w:r>
      <w:hyperlink r:id="rId13">
        <w:r>
          <w:rPr>
            <w:color w:val="0000EE"/>
            <w:u w:val="single"/>
          </w:rPr>
          <w:t>[3]</w:t>
        </w:r>
      </w:hyperlink>
      <w:r>
        <w:t xml:space="preserve">, </w:t>
      </w:r>
      <w:hyperlink r:id="rId9">
        <w:r>
          <w:rPr>
            <w:color w:val="0000EE"/>
            <w:u w:val="single"/>
          </w:rPr>
          <w:t>[4]</w:t>
        </w:r>
      </w:hyperlink>
      <w:r/>
    </w:p>
    <w:p>
      <w:pPr>
        <w:pStyle w:val="Heading2"/>
      </w:pPr>
      <w:r>
        <w:t>Food assistance use stayed broadly flat</w:t>
      </w:r>
      <w:r/>
    </w:p>
    <w:p>
      <w:r/>
      <w:r>
        <w:t xml:space="preserve">The study found that food pantry use and participation in the Supplemental Nutrition Assistance Program, or SNAP, did not rise in line with food insecurity. That mismatch matters: more people were struggling, but the number turning to established support did not shift substantially. </w:t>
      </w:r>
      <w:hyperlink r:id="rId9">
        <w:r>
          <w:rPr>
            <w:color w:val="0000EE"/>
            <w:u w:val="single"/>
          </w:rPr>
          <w:t>[4]</w:t>
        </w:r>
      </w:hyperlink>
      <w:r>
        <w:t xml:space="preserve">, </w:t>
      </w:r>
      <w:hyperlink r:id="rId10">
        <w:r>
          <w:rPr>
            <w:color w:val="0000EE"/>
            <w:u w:val="single"/>
          </w:rPr>
          <w:t>[5]</w:t>
        </w:r>
      </w:hyperlink>
      <w:r/>
    </w:p>
    <w:p>
      <w:r/>
      <w:r>
        <w:t xml:space="preserve">Researchers identified several reasons, from difficulty finding information to practical access problems. For someone balancing work, transport, health concerns or an unpredictable schedule, visiting a pantry can be far harder than it sounds. Add worries about confidentiality, and an apparently simple referral may become a closed door. </w:t>
      </w:r>
      <w:hyperlink r:id="rId12">
        <w:r>
          <w:rPr>
            <w:color w:val="0000EE"/>
            <w:u w:val="single"/>
          </w:rPr>
          <w:t>[6]</w:t>
        </w:r>
      </w:hyperlink>
      <w:r>
        <w:t xml:space="preserve">, </w:t>
      </w:r>
      <w:hyperlink r:id="rId14">
        <w:r>
          <w:rPr>
            <w:color w:val="0000EE"/>
            <w:u w:val="single"/>
          </w:rPr>
          <w:t>[7]</w:t>
        </w:r>
      </w:hyperlink>
      <w:r/>
    </w:p>
    <w:p>
      <w:pPr>
        <w:pStyle w:val="Heading2"/>
      </w:pPr>
      <w:r>
        <w:t>What could make support feel safer?</w:t>
      </w:r>
      <w:r/>
    </w:p>
    <w:p>
      <w:r/>
      <w:r>
        <w:t xml:space="preserve">Participants suggested a more flexible menu of help, including grocery gift cards, home delivery, curbside collection and online ordering. These options could reduce the visibility and logistical burden of getting food assistance, particularly for people who don't want to explain their circumstances face to face. </w:t>
      </w:r>
      <w:hyperlink r:id="rId11">
        <w:r>
          <w:rPr>
            <w:color w:val="0000EE"/>
            <w:u w:val="single"/>
          </w:rPr>
          <w:t>[2]</w:t>
        </w:r>
      </w:hyperlink>
      <w:r>
        <w:t xml:space="preserve">, </w:t>
      </w:r>
      <w:hyperlink r:id="rId12">
        <w:r>
          <w:rPr>
            <w:color w:val="0000EE"/>
            <w:u w:val="single"/>
          </w:rPr>
          <w:t>[6]</w:t>
        </w:r>
      </w:hyperlink>
      <w:r/>
    </w:p>
    <w:p>
      <w:r/>
      <w:r>
        <w:t xml:space="preserve">Support with SNAP applications was another practical suggestion. Clear guidance, inclusive language and staff trained to understand LGBTQ+ communities could make the process less intimidating. The best approach may not be one grand fix, but a quieter collection of changes that gives people more control over how and when they receive help. </w:t>
      </w:r>
      <w:hyperlink r:id="rId9">
        <w:r>
          <w:rPr>
            <w:color w:val="0000EE"/>
            <w:u w:val="single"/>
          </w:rPr>
          <w:t>[4]</w:t>
        </w:r>
      </w:hyperlink>
      <w:r>
        <w:t xml:space="preserve">, </w:t>
      </w:r>
      <w:hyperlink r:id="rId10">
        <w:r>
          <w:rPr>
            <w:color w:val="0000EE"/>
            <w:u w:val="single"/>
          </w:rPr>
          <w:t>[5]</w:t>
        </w:r>
      </w:hyperlink>
      <w:r/>
    </w:p>
    <w:p>
      <w:pPr>
        <w:pStyle w:val="Heading2"/>
      </w:pPr>
      <w:r>
        <w:t>Community-designed action is the next test</w:t>
      </w:r>
      <w:r/>
    </w:p>
    <w:p>
      <w:r/>
      <w:r>
        <w:t xml:space="preserve">The researchers argue that future programmes should be developed with LGBTQ+ communities rather than simply delivered to them. That distinction is important: local organisations and community members are more likely to spot the small design flaws that can turn a useful service into an awkward or inaccessible one. </w:t>
      </w:r>
      <w:hyperlink r:id="rId11">
        <w:r>
          <w:rPr>
            <w:color w:val="0000EE"/>
            <w:u w:val="single"/>
          </w:rPr>
          <w:t>[2]</w:t>
        </w:r>
      </w:hyperlink>
      <w:r>
        <w:t xml:space="preserve">, </w:t>
      </w:r>
      <w:hyperlink r:id="rId10">
        <w:r>
          <w:rPr>
            <w:color w:val="0000EE"/>
            <w:u w:val="single"/>
          </w:rPr>
          <w:t>[5]</w:t>
        </w:r>
      </w:hyperlink>
      <w:r/>
    </w:p>
    <w:p>
      <w:r/>
      <w:r>
        <w:t xml:space="preserve">The study involved the Greater Boston Food Bank and Mass General Brigham, offering a potential route from evidence to action. As policymakers debate food assistance and households continue to feel pressure at the till, making support discreet, convenient and respectful could be just as important as expanding it. Nobody should have to choose between going hungry and feeling exposed. </w:t>
      </w:r>
      <w:hyperlink r:id="rId9">
        <w:r>
          <w:rPr>
            <w:color w:val="0000EE"/>
            <w:u w:val="single"/>
          </w:rPr>
          <w:t>[4]</w:t>
        </w:r>
      </w:hyperlink>
      <w:r>
        <w:t xml:space="preserve">, </w:t>
      </w:r>
      <w:hyperlink r:id="rId14">
        <w:r>
          <w:rPr>
            <w:color w:val="0000EE"/>
            <w:u w:val="single"/>
          </w:rPr>
          <w:t>[7]</w:t>
        </w:r>
      </w:hyperlink>
      <w:r/>
    </w:p>
    <w:p>
      <w:r/>
      <w:r>
        <w:t>A more private, flexible food support system could help close the gap with dignity intact.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[5]</w:t>
        </w:r>
      </w:hyperlink>
      <w:r>
        <w:t xml:space="preserve">- Paragraph 2: </w:t>
      </w:r>
      <w:hyperlink r:id="rId11">
        <w:r>
          <w:rPr>
            <w:color w:val="0000EE"/>
            <w:u w:val="single"/>
          </w:rPr>
          <w:t>[2]</w:t>
        </w:r>
      </w:hyperlink>
      <w:r>
        <w:t xml:space="preserve">, </w:t>
      </w:r>
      <w:hyperlink r:id="rId9">
        <w:r>
          <w:rPr>
            <w:color w:val="0000EE"/>
            <w:u w:val="single"/>
          </w:rPr>
          <w:t>[4]</w:t>
        </w:r>
      </w:hyperlink>
      <w:r>
        <w:t xml:space="preserve">- Paragraph 3: </w:t>
      </w:r>
      <w:hyperlink r:id="rId11">
        <w:r>
          <w:rPr>
            <w:color w:val="0000EE"/>
            <w:u w:val="single"/>
          </w:rPr>
          <w:t>[2]</w:t>
        </w:r>
      </w:hyperlink>
      <w:r>
        <w:t xml:space="preserve">, </w:t>
      </w:r>
      <w:hyperlink r:id="rId12">
        <w:r>
          <w:rPr>
            <w:color w:val="0000EE"/>
            <w:u w:val="single"/>
          </w:rPr>
          <w:t>[6]</w:t>
        </w:r>
      </w:hyperlink>
      <w:r>
        <w:t xml:space="preserve">- Paragraph 4: </w:t>
      </w:r>
      <w:hyperlink r:id="rId13">
        <w:r>
          <w:rPr>
            <w:color w:val="0000EE"/>
            <w:u w:val="single"/>
          </w:rPr>
          <w:t>[3]</w:t>
        </w:r>
      </w:hyperlink>
      <w:r>
        <w:t xml:space="preserve">, </w:t>
      </w:r>
      <w:hyperlink r:id="rId9">
        <w:r>
          <w:rPr>
            <w:color w:val="0000EE"/>
            <w:u w:val="single"/>
          </w:rPr>
          <w:t>[4]</w:t>
        </w:r>
      </w:hyperlink>
      <w:r>
        <w:t xml:space="preserve">- Paragraph 5: </w:t>
      </w:r>
      <w:hyperlink r:id="rId9">
        <w:r>
          <w:rPr>
            <w:color w:val="0000EE"/>
            <w:u w:val="single"/>
          </w:rPr>
          <w:t>[4]</w:t>
        </w:r>
      </w:hyperlink>
      <w:r>
        <w:t xml:space="preserve">, </w:t>
      </w:r>
      <w:hyperlink r:id="rId10">
        <w:r>
          <w:rPr>
            <w:color w:val="0000EE"/>
            <w:u w:val="single"/>
          </w:rPr>
          <w:t>[5]</w:t>
        </w:r>
      </w:hyperlink>
      <w:r>
        <w:t xml:space="preserve">- Paragraph 6: </w:t>
      </w:r>
      <w:hyperlink r:id="rId12">
        <w:r>
          <w:rPr>
            <w:color w:val="0000EE"/>
            <w:u w:val="single"/>
          </w:rPr>
          <w:t>[6]</w:t>
        </w:r>
      </w:hyperlink>
      <w:r>
        <w:t xml:space="preserve">, </w:t>
      </w:r>
      <w:hyperlink r:id="rId14">
        <w:r>
          <w:rPr>
            <w:color w:val="0000EE"/>
            <w:u w:val="single"/>
          </w:rPr>
          <w:t>[7]</w:t>
        </w:r>
      </w:hyperlink>
      <w:r>
        <w:t xml:space="preserve">- Paragraph 7: </w:t>
      </w:r>
      <w:hyperlink r:id="rId11">
        <w:r>
          <w:rPr>
            <w:color w:val="0000EE"/>
            <w:u w:val="single"/>
          </w:rPr>
          <w:t>[2]</w:t>
        </w:r>
      </w:hyperlink>
      <w:r>
        <w:t xml:space="preserve">, </w:t>
      </w:r>
      <w:hyperlink r:id="rId12">
        <w:r>
          <w:rPr>
            <w:color w:val="0000EE"/>
            <w:u w:val="single"/>
          </w:rPr>
          <w:t>[6]</w:t>
        </w:r>
      </w:hyperlink>
      <w:r>
        <w:t xml:space="preserve">- Paragraph 8: </w:t>
      </w:r>
      <w:hyperlink r:id="rId9">
        <w:r>
          <w:rPr>
            <w:color w:val="0000EE"/>
            <w:u w:val="single"/>
          </w:rPr>
          <w:t>[4]</w:t>
        </w:r>
      </w:hyperlink>
      <w:r>
        <w:t xml:space="preserve">, </w:t>
      </w:r>
      <w:hyperlink r:id="rId10">
        <w:r>
          <w:rPr>
            <w:color w:val="0000EE"/>
            <w:u w:val="single"/>
          </w:rPr>
          <w:t>[5]</w:t>
        </w:r>
      </w:hyperlink>
      <w:r>
        <w:t xml:space="preserve">- Paragraph 9: </w:t>
      </w:r>
      <w:hyperlink r:id="rId11">
        <w:r>
          <w:rPr>
            <w:color w:val="0000EE"/>
            <w:u w:val="single"/>
          </w:rPr>
          <w:t>[2]</w:t>
        </w:r>
      </w:hyperlink>
      <w:r>
        <w:t xml:space="preserve">, </w:t>
      </w:r>
      <w:hyperlink r:id="rId10">
        <w:r>
          <w:rPr>
            <w:color w:val="0000EE"/>
            <w:u w:val="single"/>
          </w:rPr>
          <w:t>[5]</w:t>
        </w:r>
      </w:hyperlink>
      <w:r>
        <w:t xml:space="preserve">- Paragraph 10: </w:t>
      </w:r>
      <w:hyperlink r:id="rId9">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https://www.news-medical.net/news/20261008/Food-insecurity-disproportionately-affects-LGBTQ2b-adults-in-Massachusetts.aspx</w:t>
        </w:r>
      </w:hyperlink>
      <w:r>
        <w:t xml:space="preserve"> - Please view link - unable to able to access data</w:t>
      </w:r>
      <w:r/>
    </w:p>
    <w:p>
      <w:pPr>
        <w:pStyle w:val="ListNumber"/>
        <w:spacing w:line="240" w:lineRule="auto"/>
        <w:ind w:left="720"/>
      </w:pPr>
      <w:r/>
      <w:hyperlink r:id="rId11">
        <w:r>
          <w:rPr>
            <w:color w:val="0000EE"/>
            <w:u w:val="single"/>
          </w:rPr>
          <w:t>https://www.populationmedicine.org/news-media/more-half-lgbtq-adults-massachusetts-faced-food-insecurity-2024</w:t>
        </w:r>
      </w:hyperlink>
      <w:r>
        <w:t xml:space="preserve"> - A press release from the Harvard Pilgrim Health Care Institute reports that over half of LGBTQ+ adults in Massachusetts experienced food insecurity in 2024. The study analysed data from 9,174 adults who participated in the Massachusetts Statewide Food Access Survey between 2022 and 2024. The findings revealed that 54.9% of LGBTQ+ adults faced food insecurity in 2024, compared to 33.3% of non-LGBTQ+ adults. This disparity persisted throughout the study period, even after accounting for demographic and socioeconomic differences. The study highlights the need for targeted interventions to address these disparities.</w:t>
      </w:r>
      <w:r/>
    </w:p>
    <w:p>
      <w:pPr>
        <w:pStyle w:val="ListNumber"/>
        <w:spacing w:line="240" w:lineRule="auto"/>
        <w:ind w:left="720"/>
      </w:pPr>
      <w:r/>
      <w:hyperlink r:id="rId13">
        <w:r>
          <w:rPr>
            <w:color w:val="0000EE"/>
            <w:u w:val="single"/>
          </w:rPr>
          <w:t>https://phys.org/news/2026-10-lgbtq-adults-massachusetts-food-insecurity.html</w:t>
        </w:r>
      </w:hyperlink>
      <w:r>
        <w:t xml:space="preserve"> - An article on Phys.org discusses a study published in JAMA Network Open, revealing that more than half of LGBTQ+ adults in Massachusetts experienced food insecurity in 2024. The research analysed data from 9,174 adults who participated in the Massachusetts Statewide Food Access Survey between 2022 and 2024. The study found that 54.9% of LGBTQ+ adults faced food insecurity in 2024, compared to 33.3% of non-LGBTQ+ adults. The disparity remained significant even after adjusting for demographic and socioeconomic factors, indicating that additional barriers contribute to food insecurity among LGBTQ+ individuals.</w:t>
      </w:r>
      <w:r/>
    </w:p>
    <w:p>
      <w:pPr>
        <w:pStyle w:val="ListNumber"/>
        <w:spacing w:line="240" w:lineRule="auto"/>
        <w:ind w:left="720"/>
      </w:pPr>
      <w:r/>
      <w:hyperlink r:id="rId9">
        <w:r>
          <w:rPr>
            <w:color w:val="0000EE"/>
            <w:u w:val="single"/>
          </w:rPr>
          <w:t>https://jamanetwork.com/journals/jamanetworkopen/fullarticle/2854969</w:t>
        </w:r>
      </w:hyperlink>
      <w:r>
        <w:t xml:space="preserve"> - A study published in JAMA Network Open examines disparities in food insecurity, food assistance use, and barriers to food assistance among LGBTQ+ adults in Massachusetts. The research analysed data from 9,174 adults who participated in the Massachusetts Statewide Food Access Survey between 2022 and 2024. The study found that 54.9% of LGBTQ+ adults experienced food insecurity in 2024, compared to 33.3% of non-LGBTQ+ adults. The disparity persisted over time and remained significant after adjusting for demographic and socioeconomic factors, highlighting the need for targeted interventions to address these disparities.</w:t>
      </w:r>
      <w:r/>
    </w:p>
    <w:p>
      <w:pPr>
        <w:pStyle w:val="ListNumber"/>
        <w:spacing w:line="240" w:lineRule="auto"/>
        <w:ind w:left="720"/>
      </w:pPr>
      <w:r/>
      <w:hyperlink r:id="rId10">
        <w:r>
          <w:rPr>
            <w:color w:val="0000EE"/>
            <w:u w:val="single"/>
          </w:rPr>
          <w:t>https://media-prod.ama-assn.org/media-releases/10.1001/jamanetworkopen.2026.38129</w:t>
        </w:r>
      </w:hyperlink>
      <w:r>
        <w:t xml:space="preserve"> - An article from the American Medical Association discusses a study published in JAMA Network Open, which found that over half of LGBTQ+ adults in Massachusetts experienced food insecurity in 2024. The research analysed data from 9,174 adults who participated in the Massachusetts Statewide Food Access Survey between 2022 and 2024. The study revealed that 54.9% of LGBTQ+ adults faced food insecurity in 2024, compared to 33.3% of non-LGBTQ+ adults. The disparity remained significant even after accounting for demographic and socioeconomic differences, indicating the need for targeted interventions to address these disparities.</w:t>
      </w:r>
      <w:r/>
    </w:p>
    <w:p>
      <w:pPr>
        <w:pStyle w:val="ListNumber"/>
        <w:spacing w:line="240" w:lineRule="auto"/>
        <w:ind w:left="720"/>
      </w:pPr>
      <w:r/>
      <w:hyperlink r:id="rId12">
        <w:r>
          <w:rPr>
            <w:color w:val="0000EE"/>
            <w:u w:val="single"/>
          </w:rPr>
          <w:t>https://www.eurekalert.org/news-releases/1146648</w:t>
        </w:r>
      </w:hyperlink>
      <w:r>
        <w:t xml:space="preserve"> - A news release from EurekAlert! reports on a study published in JAMA Network Open, revealing that more than half of LGBTQ+ adults in Massachusetts experienced food insecurity in 2024. The research analysed data from 9,174 adults who participated in the Massachusetts Statewide Food Access Survey between 2022 and 2024. The study found that 54.9% of LGBTQ+ adults faced food insecurity in 2024, compared to 33.3% of non-LGBTQ+ adults. The disparity persisted over time and remained significant after adjusting for demographic and socioeconomic factors, highlighting the need for targeted interventions to address these disparities.</w:t>
      </w:r>
      <w:r/>
    </w:p>
    <w:p>
      <w:pPr>
        <w:pStyle w:val="ListNumber"/>
        <w:spacing w:line="240" w:lineRule="auto"/>
        <w:ind w:left="720"/>
      </w:pPr>
      <w:r/>
      <w:hyperlink r:id="rId14">
        <w:r>
          <w:rPr>
            <w:color w:val="0000EE"/>
            <w:u w:val="single"/>
          </w:rPr>
          <w:t>https://www.axios.com/local/boston/2026/04/07/massachusetts-food-insecurity-survey</w:t>
        </w:r>
      </w:hyperlink>
      <w:r>
        <w:t xml:space="preserve"> - An article from Axios reports that in 2025, food insecurity affected a record 40% of Massachusetts households, according to a survey conducted by the Greater Boston Food Bank and Mass General Brigham. This equates to over 1.1 million households struggling to access consistent food due to factors like inflation, high living costs, and the 2025 federal government shutdown. Alarmingly, 25% of households experienced 'very low food security,' often missing meals. The survey, which included responses from 3,000 residents, revealed that people from all demographics are impacted, including families with children and seniors.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amanetwork.com/journals/jamanetworkopen/fullarticle/2854969" TargetMode="External"/><Relationship Id="rId10" Type="http://schemas.openxmlformats.org/officeDocument/2006/relationships/hyperlink" Target="https://media-prod.ama-assn.org/media-releases/10.1001/jamanetworkopen.2026.38129" TargetMode="External"/><Relationship Id="rId11" Type="http://schemas.openxmlformats.org/officeDocument/2006/relationships/hyperlink" Target="https://www.populationmedicine.org/news-media/more-half-lgbtq-adults-massachusetts-faced-food-insecurity-2024" TargetMode="External"/><Relationship Id="rId12" Type="http://schemas.openxmlformats.org/officeDocument/2006/relationships/hyperlink" Target="https://www.eurekalert.org/news-releases/1146648" TargetMode="External"/><Relationship Id="rId13" Type="http://schemas.openxmlformats.org/officeDocument/2006/relationships/hyperlink" Target="https://phys.org/news/2026-10-lgbtq-adults-massachusetts-food-insecurity.html" TargetMode="External"/><Relationship Id="rId14" Type="http://schemas.openxmlformats.org/officeDocument/2006/relationships/hyperlink" Target="https://www.axios.com/local/boston/2026/04/07/massachusetts-food-insecurity-survey" TargetMode="External"/><Relationship Id="rId15" Type="http://schemas.openxmlformats.org/officeDocument/2006/relationships/hyperlink" Target="https://www.news-medical.net/news/20261008/Food-insecurity-disproportionately-affects-LGBTQ2b-adults-in-Massachusett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