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LGBTIQ+ Australians Face Higher Mental Health Risks, Study Finds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Australian research highlights a stark mental health gap affecting LGBTIQ+ people, with anxiety among the most common concerns. The findings matter because they connect identity, access to care and social pressures, while offering a clearer picture of who may need support and where services must do better.</w:t>
      </w:r>
      <w:r/>
    </w:p>
    <w:p>
      <w:pPr>
        <w:pStyle w:val="Heading2"/>
      </w:pPr>
      <w:r>
        <w:t>Essential Takeaways</w:t>
      </w:r>
      <w:r/>
      <w:r/>
    </w:p>
    <w:p>
      <w:pPr>
        <w:pStyle w:val="ListBullet"/>
        <w:spacing w:line="240" w:lineRule="auto"/>
        <w:ind w:left="720"/>
      </w:pPr>
      <w:r/>
      <w:r>
        <w:rPr>
          <w:b/>
        </w:rPr>
        <w:t>Higher diagnosis rates:</w:t>
      </w:r>
      <w:r>
        <w:t xml:space="preserve"> LGBTIQ+ Australians are around three times more likely to experience a mental health disorder than the broader population.</w:t>
      </w:r>
      <w:r/>
    </w:p>
    <w:p>
      <w:pPr>
        <w:pStyle w:val="ListBullet"/>
        <w:spacing w:line="240" w:lineRule="auto"/>
        <w:ind w:left="720"/>
      </w:pPr>
      <w:r/>
      <w:r>
        <w:rPr>
          <w:b/>
        </w:rPr>
        <w:t>Anxiety leads the list:</w:t>
      </w:r>
      <w:r>
        <w:t xml:space="preserve"> Anxiety disorders were the most commonly reported condition across the groups studied.</w:t>
      </w:r>
      <w:r/>
    </w:p>
    <w:p>
      <w:pPr>
        <w:pStyle w:val="ListBullet"/>
        <w:spacing w:line="240" w:lineRule="auto"/>
        <w:ind w:left="720"/>
      </w:pPr>
      <w:r/>
      <w:r>
        <w:rPr>
          <w:b/>
        </w:rPr>
        <w:t>Cisgender non-heterosexual people:</w:t>
      </w:r>
      <w:r>
        <w:t xml:space="preserve"> More than half had received a mental health diagnosis.</w:t>
      </w:r>
      <w:r/>
    </w:p>
    <w:p>
      <w:pPr>
        <w:pStyle w:val="ListBullet"/>
        <w:spacing w:line="240" w:lineRule="auto"/>
        <w:ind w:left="720"/>
      </w:pPr>
      <w:r/>
      <w:r>
        <w:rPr>
          <w:b/>
        </w:rPr>
        <w:t>Transgender Australians:</w:t>
      </w:r>
      <w:r>
        <w:t xml:space="preserve"> More than one third reported a similar diagnosis.</w:t>
      </w:r>
      <w:r/>
    </w:p>
    <w:p>
      <w:pPr>
        <w:pStyle w:val="ListBullet"/>
        <w:spacing w:line="240" w:lineRule="auto"/>
        <w:ind w:left="720"/>
      </w:pPr>
      <w:r/>
      <w:r>
        <w:rPr>
          <w:b/>
        </w:rPr>
        <w:t>Support matters:</w:t>
      </w:r>
      <w:r>
        <w:t xml:space="preserve"> Inclusive, accessible healthcare can make it easier to seek help early.</w:t>
      </w:r>
      <w:r/>
      <w:r/>
    </w:p>
    <w:p>
      <w:pPr>
        <w:pStyle w:val="Heading2"/>
      </w:pPr>
      <w:r>
        <w:t>The mental health gap is impossible to ignore</w:t>
      </w:r>
      <w:r/>
    </w:p>
    <w:p>
      <w:r/>
      <w:r>
        <w:t>The headline finding is stark: LGBTIQ+ Australians are about three times more likely to experience mental health disorders than other Australians. According to research from Monash University, the figures point to a substantial and persistent divide, rather than a small statistical variation.</w:t>
      </w:r>
      <w:r/>
    </w:p>
    <w:p>
      <w:r/>
      <w:r>
        <w:t>Anxiety disorders were the most frequently reported condition. That won't surprise many people who understand the strain of discrimination, exclusion or feeling unsafe, but seeing those pressures reflected in national data gives the issue a sharper edge.</w:t>
      </w:r>
      <w:r/>
    </w:p>
    <w:p>
      <w:r/>
      <w:r>
        <w:t xml:space="preserve">The research drew on the Australian Bureau of Statistics' National Study of Mental Health and Wellbeing, giving it a broad population base. The ABS says its LGBTQ mental health findings are intended to improve understanding of the health experiences and needs of these communities. </w:t>
      </w:r>
      <w:r/>
    </w:p>
    <w:p>
      <w:pPr>
        <w:pStyle w:val="Heading2"/>
      </w:pPr>
      <w:r>
        <w:t>Who is most affected?</w:t>
      </w:r>
      <w:r/>
    </w:p>
    <w:p>
      <w:r/>
      <w:r>
        <w:t>More than half of cisgender non-heterosexual Australians in the study had received a mental health diagnosis. The figure was also high among transgender Australians, with more than one third reporting a similar diagnosis.</w:t>
      </w:r>
      <w:r/>
    </w:p>
    <w:p>
      <w:r/>
      <w:r>
        <w:t>Those categories aren't interchangeable, and the differences matter. Sexual orientation and gender identity shape people's experiences in distinct ways, while some people sit across several communities and may face overlapping pressures.</w:t>
      </w:r>
      <w:r/>
    </w:p>
    <w:p>
      <w:r/>
      <w:r>
        <w:t>The Australian Institute of Health and Welfare's work on LGBTIQ+ people in the Australian Defence Force also underlines why more detailed data is useful. Broad labels can hide important differences in age, gender, sexuality, location and service access.</w:t>
      </w:r>
      <w:r/>
    </w:p>
    <w:p>
      <w:pPr>
        <w:pStyle w:val="Heading2"/>
      </w:pPr>
      <w:r>
        <w:t>Anxiety is common, but it isn't the whole story</w:t>
      </w:r>
      <w:r/>
    </w:p>
    <w:p>
      <w:r/>
      <w:r>
        <w:t>Anxiety was the leading reported condition across the groups examined. It can show up in quiet, exhausting ways: constant alertness, poor sleep, racing thoughts or the uneasy feeling that everyday situations aren't quite safe.</w:t>
      </w:r>
      <w:r/>
    </w:p>
    <w:p>
      <w:r/>
      <w:r>
        <w:t>Still, a single headline diagnosis can't capture the full picture. LGBTIQ+ health organisations point to wider concerns including depression, suicidal distress, substance use and barriers to culturally safe care. Statistics are useful, but they should open the conversation rather than close it.</w:t>
      </w:r>
      <w:r/>
    </w:p>
    <w:p>
      <w:r/>
      <w:r>
        <w:t>That is particularly important for people who have previously felt dismissed by doctors or worried about having to explain their identity before discussing their health. A calm, respectful appointment can be the difference between seeking help and putting it off.</w:t>
      </w:r>
      <w:r/>
    </w:p>
    <w:p>
      <w:pPr>
        <w:pStyle w:val="Heading2"/>
      </w:pPr>
      <w:r>
        <w:t>Why inclusive care makes a practical difference</w:t>
      </w:r>
      <w:r/>
    </w:p>
    <w:p>
      <w:r/>
      <w:r>
        <w:t>The Department of Health and Aged Care identifies LGBTIQA+ health as a priority area, including the need for services that are safe, respectful and responsive. In practice, that can mean using the right name and pronouns, avoiding assumptions about relationships, and making forms and waiting-room language more inclusive.</w:t>
      </w:r>
      <w:r/>
    </w:p>
    <w:p>
      <w:r/>
      <w:r>
        <w:t>For anyone looking for support, a useful first step is finding a GP or mental health professional with experience in LGBTIQ+ healthcare. Community organisations can also help people locate affirming services, particularly when cost, transport or privacy makes access harder.</w:t>
      </w:r>
      <w:r/>
    </w:p>
    <w:p>
      <w:r/>
      <w:r>
        <w:t>If you're supporting someone else, listening without rushing to offer a solution is often the best starting point. Ask what they need, respect their privacy and avoid treating identity as the problem. The surrounding pressure is often where the real burden sits.</w:t>
      </w:r>
      <w:r/>
    </w:p>
    <w:p>
      <w:pPr>
        <w:pStyle w:val="Heading2"/>
      </w:pPr>
      <w:r>
        <w:t>Better data could lead to better support</w:t>
      </w:r>
      <w:r/>
    </w:p>
    <w:p>
      <w:r/>
      <w:r>
        <w:t>The research gives policymakers a clearer signal about the scale of the problem, but it also points to gaps that future studies need to fill. LGBTIQ+ people aren't one uniform group, and national averages can conceal sharper risks among particular communities.</w:t>
      </w:r>
      <w:r/>
    </w:p>
    <w:p>
      <w:r/>
      <w:r>
        <w:t>LGBTIQ+ Health Australia says reliable, specific data is essential for planning services that reach people effectively. That means collecting information carefully, protecting privacy and involving communities in decisions about how findings are used.</w:t>
      </w:r>
      <w:r/>
    </w:p>
    <w:p>
      <w:r/>
      <w:r>
        <w:t>There is no quick fix here, but better evidence can help direct funding, training and early intervention. For many people, simply being met with understanding can make a hard conversation feel a little less heavy.</w:t>
      </w:r>
      <w:r/>
    </w:p>
    <w:p>
      <w:r/>
      <w:r>
        <w:t>It's a small step towards care that feels safer, fairer and easier to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1">
        <w:r>
          <w:rPr>
            <w:color w:val="0000EE"/>
            <w:u w:val="single"/>
          </w:rPr>
          <w:t>[3]</w:t>
        </w:r>
      </w:hyperlink>
      <w:r>
        <w:t xml:space="preserve">, </w:t>
      </w:r>
      <w:hyperlink r:id="rId13">
        <w:r>
          <w:rPr>
            <w:color w:val="0000EE"/>
            <w:u w:val="single"/>
          </w:rPr>
          <w:t>[6]</w:t>
        </w:r>
      </w:hyperlink>
      <w:r>
        <w:t xml:space="preserve">- Paragraph 4: </w:t>
      </w:r>
      <w:hyperlink r:id="rId14">
        <w:r>
          <w:rPr>
            <w:color w:val="0000EE"/>
            <w:u w:val="single"/>
          </w:rPr>
          <w:t>[4]</w:t>
        </w:r>
      </w:hyperlink>
      <w:r>
        <w:t xml:space="preserve">, </w:t>
      </w:r>
      <w:hyperlink r:id="rId15">
        <w:r>
          <w:rPr>
            <w:color w:val="0000EE"/>
            <w:u w:val="single"/>
          </w:rPr>
          <w:t>[5]</w:t>
        </w:r>
      </w:hyperlink>
      <w:r>
        <w:t xml:space="preserve">- Paragraph 5: </w:t>
      </w:r>
      <w:hyperlink r:id="rId15">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[7]</w:t>
        </w:r>
      </w:hyperlink>
      <w:r>
        <w:t xml:space="preserve">- Paragraph 7: </w:t>
      </w:r>
      <w:hyperlink r:id="rId15">
        <w:r>
          <w:rPr>
            <w:color w:val="0000EE"/>
            <w:u w:val="single"/>
          </w:rPr>
          <w:t>[5]</w:t>
        </w:r>
      </w:hyperlink>
      <w:r>
        <w:t xml:space="preserve">, </w:t>
      </w:r>
      <w:hyperlink r:id="rId13">
        <w:r>
          <w:rPr>
            <w:color w:val="0000EE"/>
            <w:u w:val="single"/>
          </w:rPr>
          <w:t>[6]</w:t>
        </w:r>
      </w:hyperlink>
      <w:r>
        <w:t xml:space="preserve">- Paragraph 8: </w:t>
      </w:r>
      <w:hyperlink r:id="rId14">
        <w:r>
          <w:rPr>
            <w:color w:val="0000EE"/>
            <w:u w:val="single"/>
          </w:rPr>
          <w:t>[4]</w:t>
        </w:r>
      </w:hyperlink>
      <w:r>
        <w:t xml:space="preserve">, </w:t>
      </w:r>
      <w:hyperlink r:id="rId15">
        <w:r>
          <w:rPr>
            <w:color w:val="0000EE"/>
            <w:u w:val="single"/>
          </w:rPr>
          <w:t>[5]</w:t>
        </w:r>
      </w:hyperlink>
      <w:r>
        <w:t xml:space="preserve">- Paragraph 9: </w:t>
      </w:r>
      <w:hyperlink r:id="rId15">
        <w:r>
          <w:rPr>
            <w:color w:val="0000EE"/>
            <w:u w:val="single"/>
          </w:rPr>
          <w:t>[5]</w:t>
        </w:r>
      </w:hyperlink>
      <w:r>
        <w:t xml:space="preserve">, </w:t>
      </w:r>
      <w:hyperlink r:id="rId13">
        <w:r>
          <w:rPr>
            <w:color w:val="0000EE"/>
            <w:u w:val="single"/>
          </w:rPr>
          <w:t>[6]</w:t>
        </w:r>
      </w:hyperlink>
      <w:r>
        <w:t xml:space="preserve">- Paragraph 10: </w:t>
      </w:r>
      <w:hyperlink r:id="rId11">
        <w:r>
          <w:rPr>
            <w:color w:val="0000EE"/>
            <w:u w:val="single"/>
          </w:rPr>
          <w:t>[3]</w:t>
        </w:r>
      </w:hyperlink>
      <w:r>
        <w:t xml:space="preserve">, </w:t>
      </w:r>
      <w:hyperlink r:id="rId12">
        <w:r>
          <w:rPr>
            <w:color w:val="0000EE"/>
            <w:u w:val="single"/>
          </w:rPr>
          <w:t>[7]</w:t>
        </w:r>
      </w:hyperlink>
      <w:r>
        <w:t xml:space="preserve">- Paragraph 11: </w:t>
      </w:r>
      <w:hyperlink r:id="rId15">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4">
        <w:r>
          <w:rPr>
            <w:color w:val="0000EE"/>
            <w:u w:val="single"/>
          </w:rPr>
          <w:t>[4]</w:t>
        </w:r>
      </w:hyperlink>
      <w:r>
        <w:t xml:space="preserve">, </w:t>
      </w:r>
      <w:hyperlink r:id="rId13">
        <w:r>
          <w:rPr>
            <w:color w:val="0000EE"/>
            <w:u w:val="single"/>
          </w:rPr>
          <w:t>[6]</w:t>
        </w:r>
      </w:hyperlink>
      <w:r>
        <w:t xml:space="preserve">- Paragraph 14: </w:t>
      </w:r>
      <w:hyperlink r:id="rId15">
        <w:r>
          <w:rPr>
            <w:color w:val="0000EE"/>
            <w:u w:val="single"/>
          </w:rPr>
          <w:t>[5]</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[7]</w:t>
        </w:r>
      </w:hyperlink>
      <w:r>
        <w:t xml:space="preserve">- Paragraph 16: </w:t>
      </w:r>
      <w:hyperlink r:id="rId11">
        <w:r>
          <w:rPr>
            <w:color w:val="0000EE"/>
            <w:u w:val="single"/>
          </w:rPr>
          <w:t>[3]</w:t>
        </w:r>
      </w:hyperlink>
      <w:r>
        <w:t xml:space="preserve">, </w:t>
      </w:r>
      <w:hyperlink r:id="rId13">
        <w:r>
          <w:rPr>
            <w:color w:val="0000EE"/>
            <w:u w:val="single"/>
          </w:rPr>
          <w:t>[6]</w:t>
        </w:r>
      </w:hyperlink>
      <w:r>
        <w:t xml:space="preserve">- Paragraph 17: </w:t>
      </w:r>
      <w:hyperlink r:id="rId15">
        <w:r>
          <w:rPr>
            <w:color w:val="0000EE"/>
            <w:u w:val="single"/>
          </w:rPr>
          <w:t>[5]</w:t>
        </w:r>
      </w:hyperlink>
      <w:r>
        <w:t xml:space="preserve">, </w:t>
      </w:r>
      <w:hyperlink r:id="rId13">
        <w:r>
          <w:rPr>
            <w:color w:val="0000EE"/>
            <w:u w:val="single"/>
          </w:rPr>
          <w:t>[6]</w:t>
        </w:r>
      </w:hyperlink>
      <w:r>
        <w:t xml:space="preserve">- Paragraph 18: </w:t>
      </w:r>
      <w:hyperlink r:id="rId10">
        <w:r>
          <w:rPr>
            <w:color w:val="0000EE"/>
            <w:u w:val="single"/>
          </w:rPr>
          <w:t>[2]</w:t>
        </w:r>
      </w:hyperlink>
      <w:r>
        <w:t xml:space="preserve">, </w:t>
      </w:r>
      <w:hyperlink r:id="rId15">
        <w:r>
          <w:rPr>
            <w:color w:val="0000EE"/>
            <w:u w:val="single"/>
          </w:rPr>
          <w:t>[5]</w:t>
        </w:r>
      </w:hyperlink>
      <w:r>
        <w:t xml:space="preserve">- Paragraph 19: </w:t>
      </w:r>
      <w:hyperlink r:id="rId11">
        <w:r>
          <w:rPr>
            <w:color w:val="0000EE"/>
            <w:u w:val="single"/>
          </w:rPr>
          <w:t>[3]</w:t>
        </w:r>
      </w:hyperlink>
      <w:r>
        <w:t xml:space="preserve">, </w:t>
      </w:r>
      <w:hyperlink r:id="rId13">
        <w:r>
          <w:rPr>
            <w:color w:val="0000EE"/>
            <w:u w:val="single"/>
          </w:rPr>
          <w:t>[6]</w:t>
        </w:r>
      </w:hyperlink>
      <w:r>
        <w:t xml:space="preserve">- Paragraph 20: </w:t>
      </w:r>
      <w:hyperlink r:id="rId15">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https://www.radioadelaide.org.au/news/lgbtiq-australians-more-likely-to-be-diagnosed-with-mental-health-conditions/</w:t>
        </w:r>
      </w:hyperlink>
      <w:r>
        <w:t xml:space="preserve"> - Please view link - unable to able to access data</w:t>
      </w:r>
      <w:r/>
    </w:p>
    <w:p>
      <w:pPr>
        <w:pStyle w:val="ListNumber"/>
        <w:spacing w:line="240" w:lineRule="auto"/>
        <w:ind w:left="720"/>
      </w:pPr>
      <w:r/>
      <w:hyperlink r:id="rId10">
        <w:r>
          <w:rPr>
            <w:color w:val="0000EE"/>
            <w:u w:val="single"/>
          </w:rPr>
          <w:t>https://www.monash.edu/news/articles/lgbtq-australians-three-times-more-likely-to-suffer-mental-health-disorders</w:t>
        </w:r>
      </w:hyperlink>
      <w:r>
        <w:t xml:space="preserve"> - A Monash University study reveals that LGBTQ+ Australians are up to three times more likely to experience mental health disorders compared to the general population. The research analysed data from the Australian Bureau of Statistics' 2020–2022 National Study of Mental Health and Wellbeing, finding that over half of cisgender non-heterosexual individuals and more than one-third of transgender Australians are diagnosed with a mental disorder. Anxiety disorders were the most prevalent among these groups. The study highlights the need for improved mental health support and inclusive healthcare for LGBTQ+ communities.</w:t>
      </w:r>
      <w:r/>
    </w:p>
    <w:p>
      <w:pPr>
        <w:pStyle w:val="ListNumber"/>
        <w:spacing w:line="240" w:lineRule="auto"/>
        <w:ind w:left="720"/>
      </w:pPr>
      <w:r/>
      <w:hyperlink r:id="rId11">
        <w:r>
          <w:rPr>
            <w:color w:val="0000EE"/>
            <w:u w:val="single"/>
          </w:rPr>
          <w:t>https://www.abs.gov.au/articles/mental-health-findings-lgbtq-australians</w:t>
        </w:r>
      </w:hyperlink>
      <w:r>
        <w:t xml:space="preserve"> - The Australian Bureau of Statistics' 2020–2022 National Study of Mental Health and Wellbeing provides insights into the mental health of LGBTQ+ Australians. The study indicates that 74.5% of LGB+ individuals have experienced a mental disorder in their lifetime, compared to 41.7% of heterosexual Australians. Additionally, 48% of LGB+ Australians have seriously considered suicide, highlighting the urgent need for targeted mental health interventions and support services for the LGBTQ+ community.</w:t>
      </w:r>
      <w:r/>
    </w:p>
    <w:p>
      <w:pPr>
        <w:pStyle w:val="ListNumber"/>
        <w:spacing w:line="240" w:lineRule="auto"/>
        <w:ind w:left="720"/>
      </w:pPr>
      <w:r/>
      <w:hyperlink r:id="rId14">
        <w:r>
          <w:rPr>
            <w:color w:val="0000EE"/>
            <w:u w:val="single"/>
          </w:rPr>
          <w:t>https://www.aihw.gov.au/reports/veterans/lgbtiq-adf</w:t>
        </w:r>
      </w:hyperlink>
      <w:r>
        <w:t xml:space="preserve"> - The Australian Institute of Health and Welfare reports that LGBTIQ+ Australians are a priority population for suicide prevention. Data shows that 48% of LGB+ individuals have seriously considered suicide, compared to 15% of cisgender heterosexual Australians. The report underscores the heightened mental health risks within the LGBTIQ+ community and the necessity for specialised support and preventive measures.</w:t>
      </w:r>
      <w:r/>
    </w:p>
    <w:p>
      <w:pPr>
        <w:pStyle w:val="ListNumber"/>
        <w:spacing w:line="240" w:lineRule="auto"/>
        <w:ind w:left="720"/>
      </w:pPr>
      <w:r/>
      <w:hyperlink r:id="rId15">
        <w:r>
          <w:rPr>
            <w:color w:val="0000EE"/>
            <w:u w:val="single"/>
          </w:rPr>
          <w:t>https://www.health.gov.au/topics/lgbtiqa-plus-peoples-health</w:t>
        </w:r>
      </w:hyperlink>
      <w:r>
        <w:t xml:space="preserve"> - The Australian Government Department of Health is committed to improving health outcomes for LGBTIQA+ individuals. Recognising that many in this community face discrimination and stigma, the department focuses on promoting health equity and delivering better health outcomes. Initiatives include funding for mental health support services and research to address the unique health needs of LGBTIQA+ people.</w:t>
      </w:r>
      <w:r/>
    </w:p>
    <w:p>
      <w:pPr>
        <w:pStyle w:val="ListNumber"/>
        <w:spacing w:line="240" w:lineRule="auto"/>
        <w:ind w:left="720"/>
      </w:pPr>
      <w:r/>
      <w:hyperlink r:id="rId13">
        <w:r>
          <w:rPr>
            <w:color w:val="0000EE"/>
            <w:u w:val="single"/>
          </w:rPr>
          <w:t>https://www.lgbtiqhealth.org.au/statistics</w:t>
        </w:r>
      </w:hyperlink>
      <w:r>
        <w:t xml:space="preserve"> - LGBTIQ+ Health Australia provides a snapshot of mental health and suicide prevention statistics for LGBTIQ+ individuals. The data reveals that a disproportionate number experience poorer mental health outcomes and have a higher risk of suicidal behaviours compared to their peers. These outcomes are directly related to experiences of stigma, prejudice, discrimination, and abuse based on their sexual orientation or gender identity.</w:t>
      </w:r>
      <w:r/>
    </w:p>
    <w:p>
      <w:pPr>
        <w:pStyle w:val="ListNumber"/>
        <w:spacing w:line="240" w:lineRule="auto"/>
        <w:ind w:left="720"/>
      </w:pPr>
      <w:r/>
      <w:hyperlink r:id="rId12">
        <w:r>
          <w:rPr>
            <w:color w:val="0000EE"/>
            <w:u w:val="single"/>
          </w:rPr>
          <w:t>https://www.abc.net.au/news/2024-02-27/abs-lgbt-mental-health-data/103515278</w:t>
        </w:r>
      </w:hyperlink>
      <w:r>
        <w:t xml:space="preserve"> - An ABC News report highlights findings from the Australian Bureau of Statistics' 2020–2022 National Study of Mental Health and Wellbeing, indicating that 74.5% of LGB+ Australians have experienced a mental disorder in their lifetime, compared to 41.7% of heterosexual Australians. The report also notes that 48% of LGB+ individuals have seriously considered suicide, emphasising the critical need for targeted mental health support and interventions for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adioadelaide.org.au/news/lgbtiq-australians-more-likely-to-be-diagnosed-with-mental-health-conditions/" TargetMode="External"/><Relationship Id="rId10" Type="http://schemas.openxmlformats.org/officeDocument/2006/relationships/hyperlink" Target="https://www.monash.edu/news/articles/lgbtq-australians-three-times-more-likely-to-suffer-mental-health-disorders" TargetMode="External"/><Relationship Id="rId11" Type="http://schemas.openxmlformats.org/officeDocument/2006/relationships/hyperlink" Target="https://www.abs.gov.au/articles/mental-health-findings-lgbtq-australians" TargetMode="External"/><Relationship Id="rId12" Type="http://schemas.openxmlformats.org/officeDocument/2006/relationships/hyperlink" Target="https://www.abc.net.au/news/2024-02-27/abs-lgbt-mental-health-data/103515278" TargetMode="External"/><Relationship Id="rId13" Type="http://schemas.openxmlformats.org/officeDocument/2006/relationships/hyperlink" Target="https://www.lgbtiqhealth.org.au/statistics" TargetMode="External"/><Relationship Id="rId14" Type="http://schemas.openxmlformats.org/officeDocument/2006/relationships/hyperlink" Target="https://www.aihw.gov.au/reports/veterans/lgbtiq-adf" TargetMode="External"/><Relationship Id="rId15" Type="http://schemas.openxmlformats.org/officeDocument/2006/relationships/hyperlink" Target="https://www.health.gov.au/topics/lgbtiqa-plus-peoples-heal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