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Teen LGBTQ+ Trends Need Careful Context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people’s changing answers to sexuality surveys are prompting fresh debate in the US and beyond. But the reported fall in lesbian, gay and bisexual identification is not proof of a cultural collapse, and researchers say it needs careful reading alongside age, wording, social context and evolving ideas about identity.</w:t>
      </w:r>
      <w:r/>
    </w:p>
    <w:p>
      <w:pPr>
        <w:pStyle w:val="Heading2"/>
      </w:pPr>
      <w:r>
        <w:t>What the latest figures actually show</w:t>
      </w:r>
      <w:r/>
    </w:p>
    <w:p>
      <w:r/>
      <w:r>
        <w:t>The Washington Post reported a marked decline in the proportion of younger teenagers identifying as lesbian, gay or bisexual in recent federal youth data. Jean Twenge, the psychologist who analysed the figures, described the movement as dramatic while stressing that its causes remain uncertain.</w:t>
      </w:r>
      <w:r/>
    </w:p>
    <w:p>
      <w:r/>
      <w:r>
        <w:t>That caution matters. A survey result records how someone answers a question at a particular moment; it doesn't establish a fixed biological explanation or reveal exactly why a young person chose one label over another. As every parent who has tried to decode a teenager's changing playlist knows, youth culture can move quickly.</w:t>
      </w:r>
      <w:r/>
    </w:p>
    <w:p>
      <w:r/>
      <w:r>
        <w:t>The figures also concern self-identification, not necessarily attraction, behaviour or long-term identity. Those categories overlap, but they aren't interchangeable, particularly among younger respondents who may still be working out how they describe themselves.</w:t>
      </w:r>
      <w:r/>
    </w:p>
    <w:p>
      <w:pPr>
        <w:pStyle w:val="Heading2"/>
      </w:pPr>
      <w:r>
        <w:t>Why the social contagion claim remains disputed</w:t>
      </w:r>
      <w:r/>
    </w:p>
    <w:p>
      <w:r/>
      <w:r>
        <w:t>One influential 2018 paper introduced the term Rapid-Onset Gender Dysphoria and proposed that peer networks and online communities could help explain some adolescents' gender-related changes. The paper sparked intense debate, partly because it relied on reports from parents recruited through websites critical of gender transition, rather than direct clinical assessments of the teenagers themselves.</w:t>
      </w:r>
      <w:r/>
    </w:p>
    <w:p>
      <w:r/>
      <w:r>
        <w:t>Later commentary and research have challenged the strength of those conclusions. A review published in the Archives of Sexual Behavior examined the evidence around the proposed phenomenon and highlighted substantial methodological and interpretive limitations. A French analysis reported by Le Monde also questioned whether the original theory could support the broad claims often made in public debate.</w:t>
      </w:r>
      <w:r/>
    </w:p>
    <w:p>
      <w:r/>
      <w:r>
        <w:t>That doesn't mean peer influence is irrelevant. Friends, social media and school environments shape plenty of teenage behaviour, from fashion to dieting. But influence is not the same as contagion, and a careful account has to distinguish between the two.</w:t>
      </w:r>
      <w:r/>
    </w:p>
    <w:p>
      <w:pPr>
        <w:pStyle w:val="Heading2"/>
      </w:pPr>
      <w:r>
        <w:t>Identity surveys are moving targets</w:t>
      </w:r>
      <w:r/>
    </w:p>
    <w:p>
      <w:r/>
      <w:r>
        <w:t>The language used in questionnaires has changed, as has the cultural vocabulary available to respondents. A teenager who might once have selected heterosexual because it was the only familiar option may now choose bisexual, questioning or another description. Conversely, a young person who once used a broad label may later prefer no label at all.</w:t>
      </w:r>
      <w:r/>
    </w:p>
    <w:p>
      <w:r/>
      <w:r>
        <w:t>Research on adolescent sexual identity development shows that some young people change labels over time, while others become more settled. A 2024 PubMed-indexed study adds to the wider evidence that identity development is varied rather than following one universal path.</w:t>
      </w:r>
      <w:r/>
    </w:p>
    <w:p>
      <w:r/>
      <w:r>
        <w:t>That makes year-to-year comparisons tempting but imperfect. Even a real shift in responses could reflect changing confidence, privacy, question design or the social meaning attached to different labels. It shouldn't automatically be presented as evidence that one ideology has risen and fallen.</w:t>
      </w:r>
      <w:r/>
    </w:p>
    <w:p>
      <w:pPr>
        <w:pStyle w:val="Heading2"/>
      </w:pPr>
      <w:r>
        <w:t>The gender debate needs separate evidence</w:t>
      </w:r>
      <w:r/>
    </w:p>
    <w:p>
      <w:r/>
      <w:r>
        <w:t>Sexual orientation and gender identity are related in public conversations, but they are not the same measure. A fall in teenagers identifying as lesbian, gay or bisexual cannot, by itself, demonstrate a decline in transgender or non-binary identification, nor can it prove that young people are rejecting a particular political movement.</w:t>
      </w:r>
      <w:r/>
    </w:p>
    <w:p>
      <w:r/>
      <w:r>
        <w:t>A 2026 study in the Journal of Applied Developmental Psychology adds further nuance to research on young people's identity and wellbeing. The broader lesson is straightforward: claims about health, peer effects and social pressure need evidence that measures those issues directly.</w:t>
      </w:r>
      <w:r/>
    </w:p>
    <w:p>
      <w:r/>
      <w:r>
        <w:t>For families, the practical response is less dramatic than the online arguments suggest. Listen without turning a disclosure into a courtroom, ask open questions, keep communication calm and seek qualified support if a child is distressed or struggling. Good care should leave room for exploration without assuming that every identity is either permanent or imaginary.</w:t>
      </w:r>
      <w:r/>
    </w:p>
    <w:p>
      <w:pPr>
        <w:pStyle w:val="Heading2"/>
      </w:pPr>
      <w:r>
        <w:t>What happens next?</w:t>
      </w:r>
      <w:r/>
    </w:p>
    <w:p>
      <w:r/>
      <w:r>
        <w:t>The most useful next step is better research, not louder certainty. Analysts should publish the survey wording, sample details and uncertainty around the estimates, while journalists should separate the measured trend from the explanations being offered around it.</w:t>
      </w:r>
      <w:r/>
    </w:p>
    <w:p>
      <w:r/>
      <w:r>
        <w:t>There may be genuine changes in how teenagers describe themselves. There may also be differences in social pressure, privacy, language and willingness to answer. Until those possibilities are tested, the fairest conclusion is modest: the numbers appear to be shifting, but the reason is still an open question.</w:t>
      </w:r>
      <w:r/>
    </w:p>
    <w:p>
      <w:r/>
      <w:r>
        <w:t>A changing survey line is a prompt for careful investigation, not a licence to declare victory for any side.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[5]</w:t>
        </w:r>
      </w:hyperlink>
      <w:r>
        <w:t xml:space="preserve">- Paragraph 4: </w:t>
      </w:r>
      <w:hyperlink r:id="rId13">
        <w:r>
          <w:rPr>
            <w:color w:val="0000EE"/>
            <w:u w:val="single"/>
          </w:rPr>
          <w:t>[3]</w:t>
        </w:r>
      </w:hyperlink>
      <w:r>
        <w:t xml:space="preserve">- Paragraph 5: </w:t>
      </w:r>
      <w:hyperlink r:id="rId13">
        <w:r>
          <w:rPr>
            <w:color w:val="0000EE"/>
            <w:u w:val="single"/>
          </w:rPr>
          <w:t>[3]</w:t>
        </w:r>
      </w:hyperlink>
      <w:r>
        <w:t xml:space="preserve">, </w:t>
      </w:r>
      <w:hyperlink r:id="rId14">
        <w:r>
          <w:rPr>
            <w:color w:val="0000EE"/>
            <w:u w:val="single"/>
          </w:rPr>
          <w:t>[6]</w:t>
        </w:r>
      </w:hyperlink>
      <w:r>
        <w:t xml:space="preserve">- Paragraph 6: </w:t>
      </w:r>
      <w:hyperlink r:id="rId11">
        <w:r>
          <w:rPr>
            <w:color w:val="0000EE"/>
            <w:u w:val="single"/>
          </w:rPr>
          <w:t>[4]</w:t>
        </w:r>
      </w:hyperlink>
      <w:r>
        <w:t xml:space="preserve">, </w:t>
      </w:r>
      <w:hyperlink r:id="rId14">
        <w:r>
          <w:rPr>
            <w:color w:val="0000EE"/>
            <w:u w:val="single"/>
          </w:rPr>
          <w:t>[6]</w:t>
        </w:r>
      </w:hyperlink>
      <w:r>
        <w:t xml:space="preserve">- Paragraph 7: </w:t>
      </w:r>
      <w:hyperlink r:id="rId12">
        <w:r>
          <w:rPr>
            <w:color w:val="0000EE"/>
            <w:u w:val="single"/>
          </w:rPr>
          <w:t>[5]</w:t>
        </w:r>
      </w:hyperlink>
      <w:r>
        <w:t xml:space="preserve">- Paragraph 8: </w:t>
      </w:r>
      <w:hyperlink r:id="rId15">
        <w:r>
          <w:rPr>
            <w:color w:val="0000EE"/>
            <w:u w:val="single"/>
          </w:rPr>
          <w:t>[7]</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[3]</w:t>
        </w:r>
      </w:hyperlink>
      <w:r>
        <w:t xml:space="preserve">- Paragraph 12: </w:t>
      </w:r>
      <w:hyperlink r:id="rId11">
        <w:r>
          <w:rPr>
            <w:color w:val="0000EE"/>
            <w:u w:val="single"/>
          </w:rPr>
          <w:t>[4]</w:t>
        </w:r>
      </w:hyperlink>
      <w:r>
        <w:t xml:space="preserve">, </w:t>
      </w:r>
      <w:hyperlink r:id="rId12">
        <w:r>
          <w:rPr>
            <w:color w:val="0000EE"/>
            <w:u w:val="single"/>
          </w:rPr>
          <w:t>[5]</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[3]</w:t>
        </w:r>
      </w:hyperlink>
      <w:r>
        <w:t xml:space="preserve">- Paragraph 15: </w:t>
      </w:r>
      <w:hyperlink r:id="rId11">
        <w:r>
          <w:rPr>
            <w:color w:val="0000EE"/>
            <w:u w:val="single"/>
          </w:rPr>
          <w:t>[4]</w:t>
        </w:r>
      </w:hyperlink>
      <w:r>
        <w:t xml:space="preserve">, </w:t>
      </w:r>
      <w:hyperlink r:id="rId12">
        <w:r>
          <w:rPr>
            <w:color w:val="0000EE"/>
            <w:u w:val="single"/>
          </w:rPr>
          <w:t>[5]</w:t>
        </w:r>
      </w:hyperlink>
      <w:r>
        <w:t xml:space="preserve">- Paragraph 16: </w:t>
      </w:r>
      <w:hyperlink r:id="rId10">
        <w:r>
          <w:rPr>
            <w:color w:val="0000EE"/>
            <w:u w:val="single"/>
          </w:rPr>
          <w:t>[2]</w:t>
        </w:r>
      </w:hyperlink>
      <w:r>
        <w:t xml:space="preserve">, </w:t>
      </w:r>
      <w:hyperlink r:id="rId15">
        <w:r>
          <w:rPr>
            <w:color w:val="0000EE"/>
            <w:u w:val="single"/>
          </w:rPr>
          <w:t>[7]</w:t>
        </w:r>
      </w:hyperlink>
      <w:r>
        <w:t xml:space="preserve">- Paragraph 17: </w:t>
      </w:r>
      <w:hyperlink r:id="rId13">
        <w:r>
          <w:rPr>
            <w:color w:val="0000EE"/>
            <w:u w:val="single"/>
          </w:rPr>
          <w:t>[3]</w:t>
        </w:r>
      </w:hyperlink>
      <w:r>
        <w:t xml:space="preserve">, </w:t>
      </w:r>
      <w:hyperlink r:id="rId14">
        <w:r>
          <w:rPr>
            <w:color w:val="0000EE"/>
            <w:u w:val="single"/>
          </w:rPr>
          <w:t>[6]</w:t>
        </w:r>
      </w:hyperlink>
      <w:r>
        <w:t xml:space="preserve">- Paragraph 18: </w:t>
      </w:r>
      <w:hyperlink r:id="rId10">
        <w:r>
          <w:rPr>
            <w:color w:val="0000EE"/>
            <w:u w:val="single"/>
          </w:rPr>
          <w:t>[2]</w:t>
        </w:r>
      </w:hyperlink>
      <w:r>
        <w:t xml:space="preserve">, </w:t>
      </w:r>
      <w:hyperlink r:id="rId11">
        <w:r>
          <w:rPr>
            <w:color w:val="0000EE"/>
            <w:u w:val="single"/>
          </w:rPr>
          <w:t>[4]</w:t>
        </w:r>
      </w:hyperlink>
      <w:r>
        <w:t xml:space="preserve">- Paragraph 19: </w:t>
      </w:r>
      <w:hyperlink r:id="rId12">
        <w:r>
          <w:rPr>
            <w:color w:val="0000EE"/>
            <w:u w:val="single"/>
          </w:rPr>
          <w:t>[5]</w:t>
        </w:r>
      </w:hyperlink>
      <w:r>
        <w:t xml:space="preserve">, </w:t>
      </w:r>
      <w:hyperlink r:id="rId15">
        <w:r>
          <w:rPr>
            <w:color w:val="0000EE"/>
            <w:u w:val="single"/>
          </w:rPr>
          <w:t>[7]</w:t>
        </w:r>
      </w:hyperlink>
      <w:r>
        <w:t xml:space="preserve">- Paragraph 20: </w:t>
      </w:r>
      <w:hyperlink r:id="rId10">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https://wolfsheadonline.com/the-queer-paradox-how-the-alphabet-regime-made-itself-uncool/?utm_source=rss&amp;utm_medium=rss&amp;utm_campaign=the-queer-paradox-how-the-alphabet-regime-made-itself-uncool</w:t>
        </w:r>
      </w:hyperlink>
      <w:r>
        <w:t xml:space="preserve"> - Please view link - unable to able to access data</w:t>
      </w:r>
      <w:r/>
    </w:p>
    <w:p>
      <w:pPr>
        <w:pStyle w:val="ListNumber"/>
        <w:spacing w:line="240" w:lineRule="auto"/>
        <w:ind w:left="720"/>
      </w:pPr>
      <w:r/>
      <w:hyperlink r:id="rId10">
        <w:r>
          <w:rPr>
            <w:color w:val="0000EE"/>
            <w:u w:val="single"/>
          </w:rPr>
          <w:t>https://www.washingtonpost.com/health/2026/10/08/teenagers-identifying-as-lgbtq-decline/</w:t>
        </w:r>
      </w:hyperlink>
      <w:r>
        <w:t xml:space="preserve"> - An article from The Washington Post reports a significant decline in the number of young teenagers identifying as lesbian, gay, or bisexual. Psychology professor Jean Twenge describes this trend as a 'free fall,' though the causes remain unclear. The piece highlights the complexities surrounding adolescent sexual and gender identity and the challenges in understanding these shifts.</w:t>
      </w:r>
      <w:r/>
    </w:p>
    <w:p>
      <w:pPr>
        <w:pStyle w:val="ListNumber"/>
        <w:spacing w:line="240" w:lineRule="auto"/>
        <w:ind w:left="720"/>
      </w:pPr>
      <w:r/>
      <w:hyperlink r:id="rId13">
        <w:r>
          <w:rPr>
            <w:color w:val="0000EE"/>
            <w:u w:val="single"/>
          </w:rPr>
          <w:t>https://journals.plos.org/plosone/article?id=10.1371/journal.pone.0202330</w:t>
        </w:r>
      </w:hyperlink>
      <w:r>
        <w:t xml:space="preserve"> - In this 2018 study published in PLOS One, Dr. Lisa Littman examines parental reports of adolescents and young adults exhibiting signs of rapid-onset gender dysphoria. The research suggests that peer influence and social media may play significant roles in the sudden emergence of gender dysphoria among youth, particularly adolescent girls.</w:t>
      </w:r>
      <w:r/>
    </w:p>
    <w:p>
      <w:pPr>
        <w:pStyle w:val="ListNumber"/>
        <w:spacing w:line="240" w:lineRule="auto"/>
        <w:ind w:left="720"/>
      </w:pPr>
      <w:r/>
      <w:hyperlink r:id="rId11">
        <w:r>
          <w:rPr>
            <w:color w:val="0000EE"/>
            <w:u w:val="single"/>
          </w:rPr>
          <w:t>https://link.springer.com/article/10.1007/s10508-023-02754-9</w:t>
        </w:r>
      </w:hyperlink>
      <w:r>
        <w:t xml:space="preserve"> - This 2023 letter to the editor in Archives of Sexual Behavior revisits the 'Age of Realization and Disclosure of Gender Identity Among Transgender Adults' using data from the 2015 U.S. Transgender Survey. The authors argue that the survey supports the concept of rapid-onset gender dysphoria, challenging previous critiques of Littman's 2018 study.</w:t>
      </w:r>
      <w:r/>
    </w:p>
    <w:p>
      <w:pPr>
        <w:pStyle w:val="ListNumber"/>
        <w:spacing w:line="240" w:lineRule="auto"/>
        <w:ind w:left="720"/>
      </w:pPr>
      <w:r/>
      <w:hyperlink r:id="rId12">
        <w:r>
          <w:rPr>
            <w:color w:val="0000EE"/>
            <w:u w:val="single"/>
          </w:rPr>
          <w:t>https://pubmed.ncbi.nlm.nih.gov/38951367/</w:t>
        </w:r>
      </w:hyperlink>
      <w:r>
        <w:t xml:space="preserve"> - A 2023 article in Neuropsychiatrie examines the rapid-onset gender dysphoria hypothesis, first introduced by Dr. Lisa Littman in 2018. The study analyses existing evidence and discusses potential implications for future research and treatment paradigms, focusing on the role of social influences and peer contagion in the development of gender dysphoria among adolescents.</w:t>
      </w:r>
      <w:r/>
    </w:p>
    <w:p>
      <w:pPr>
        <w:pStyle w:val="ListNumber"/>
        <w:spacing w:line="240" w:lineRule="auto"/>
        <w:ind w:left="720"/>
      </w:pPr>
      <w:r/>
      <w:hyperlink r:id="rId14">
        <w:r>
          <w:rPr>
            <w:color w:val="0000EE"/>
            <w:u w:val="single"/>
          </w:rPr>
          <w:t>https://www.lemonde.fr/sciences/article/2025/03/18/transidentites-une-etude-francaise-contredit-une-theorie-antitrans_6583008_1650684.html</w:t>
        </w:r>
      </w:hyperlink>
      <w:r>
        <w:t xml:space="preserve"> - A 2025 article in Le Monde discusses a French study that contradicts the rapid-onset gender dysphoria theory. The research, based on data from the LGBTI Survey involving over 18,000 transgender individuals in Europe, shows that young transmasculine individuals disclose their identity earlier than transfeminine individuals, with differences linked to the sociopolitical context of their countries.</w:t>
      </w:r>
      <w:r/>
    </w:p>
    <w:p>
      <w:pPr>
        <w:pStyle w:val="ListNumber"/>
        <w:spacing w:line="240" w:lineRule="auto"/>
        <w:ind w:left="720"/>
      </w:pPr>
      <w:r/>
      <w:hyperlink r:id="rId15">
        <w:r>
          <w:rPr>
            <w:color w:val="0000EE"/>
            <w:u w:val="single"/>
          </w:rPr>
          <w:t>https://doi.org/10.1080/17405629.2026.2680292</w:t>
        </w:r>
      </w:hyperlink>
      <w:r>
        <w:t xml:space="preserve"> - This 2026 article in the Journal of Homosexuality examines the rapid-onset gender dysphoria hypothesis, first systematically studied by Dr. Lisa Littman in 2018. The study analyses parental reports of adolescents and young adults exhibiting sudden onset of gender dysphoria, discussing the potential role of peer influence and social media in this phenomenon.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olfsheadonline.com/the-queer-paradox-how-the-alphabet-regime-made-itself-uncool/?utm_source=rss&amp;utm_medium=rss&amp;utm_campaign=the-queer-paradox-how-the-alphabet-regime-made-itself-uncool" TargetMode="External"/><Relationship Id="rId10" Type="http://schemas.openxmlformats.org/officeDocument/2006/relationships/hyperlink" Target="https://www.washingtonpost.com/health/2026/10/08/teenagers-identifying-as-lgbtq-decline/" TargetMode="External"/><Relationship Id="rId11" Type="http://schemas.openxmlformats.org/officeDocument/2006/relationships/hyperlink" Target="https://link.springer.com/article/10.1007/s10508-023-02754-9" TargetMode="External"/><Relationship Id="rId12" Type="http://schemas.openxmlformats.org/officeDocument/2006/relationships/hyperlink" Target="https://pubmed.ncbi.nlm.nih.gov/38951367/" TargetMode="External"/><Relationship Id="rId13" Type="http://schemas.openxmlformats.org/officeDocument/2006/relationships/hyperlink" Target="https://journals.plos.org/plosone/article?id=10.1371/journal.pone.0202330" TargetMode="External"/><Relationship Id="rId14" Type="http://schemas.openxmlformats.org/officeDocument/2006/relationships/hyperlink" Target="https://www.lemonde.fr/sciences/article/2025/03/18/transidentites-une-etude-francaise-contredit-une-theorie-antitrans_6583008_1650684.html" TargetMode="External"/><Relationship Id="rId15" Type="http://schemas.openxmlformats.org/officeDocument/2006/relationships/hyperlink" Target="https://doi.org/10.1080/17405629.2026.268029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