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LGBTQIA+-Inclusive Healthcare Careers for Supportive Workplaces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Healthcare professionals are taking a closer look at LGBTQIA+-inclusive healthcare careers, from respectful patient communication to meaningful workplace protections. For jobseekers, the right role is about more than salary or shift patterns. It also means finding an employer where policies, managers and everyday behaviour make people feel safe, heard and valued.</w:t>
      </w:r>
      <w:r/>
    </w:p>
    <w:p>
      <w:pPr>
        <w:pStyle w:val="Heading2"/>
      </w:pPr>
      <w:r>
        <w:t>Essential Takeaways</w:t>
      </w:r>
      <w:r/>
      <w:r/>
    </w:p>
    <w:p>
      <w:pPr>
        <w:pStyle w:val="ListBullet"/>
        <w:spacing w:line="240" w:lineRule="auto"/>
        <w:ind w:left="720"/>
      </w:pPr>
      <w:r/>
      <w:r>
        <w:rPr>
          <w:b/>
        </w:rPr>
        <w:t>Small details matter:</w:t>
      </w:r>
      <w:r>
        <w:t xml:space="preserve"> Names, pronouns, forms and family language can shape a patient’s trust.</w:t>
      </w:r>
      <w:r/>
    </w:p>
    <w:p>
      <w:pPr>
        <w:pStyle w:val="ListBullet"/>
        <w:spacing w:line="240" w:lineRule="auto"/>
        <w:ind w:left="720"/>
      </w:pPr>
      <w:r/>
      <w:r>
        <w:rPr>
          <w:b/>
        </w:rPr>
        <w:t>Policies need proof:</w:t>
      </w:r>
      <w:r>
        <w:t xml:space="preserve"> Look for clear reporting routes, inclusive benefits and practical protection from discrimination.</w:t>
      </w:r>
      <w:r/>
    </w:p>
    <w:p>
      <w:pPr>
        <w:pStyle w:val="ListBullet"/>
        <w:spacing w:line="240" w:lineRule="auto"/>
        <w:ind w:left="720"/>
      </w:pPr>
      <w:r/>
      <w:r>
        <w:rPr>
          <w:b/>
        </w:rPr>
        <w:t>Culture shows itself quickly:</w:t>
      </w:r>
      <w:r>
        <w:t xml:space="preserve"> Interview answers, staff behaviour and manager accountability often reveal more than a glossy statement.</w:t>
      </w:r>
      <w:r/>
    </w:p>
    <w:p>
      <w:pPr>
        <w:pStyle w:val="ListBullet"/>
        <w:spacing w:line="240" w:lineRule="auto"/>
        <w:ind w:left="720"/>
      </w:pPr>
      <w:r/>
      <w:r>
        <w:rPr>
          <w:b/>
        </w:rPr>
        <w:t>Allyship is active:</w:t>
      </w:r>
      <w:r>
        <w:t xml:space="preserve"> Challenging bias, listening well and crediting colleagues are everyday workplace skills.</w:t>
      </w:r>
      <w:r/>
    </w:p>
    <w:p>
      <w:pPr>
        <w:pStyle w:val="ListBullet"/>
        <w:spacing w:line="240" w:lineRule="auto"/>
        <w:ind w:left="720"/>
      </w:pPr>
      <w:r/>
      <w:r>
        <w:rPr>
          <w:b/>
        </w:rPr>
        <w:t>Keep records if problems arise:</w:t>
      </w:r>
      <w:r>
        <w:t xml:space="preserve"> Dated notes and saved messages can help workers understand their options.</w:t>
      </w:r>
      <w:r/>
      <w:r/>
    </w:p>
    <w:p>
      <w:pPr>
        <w:pStyle w:val="Heading2"/>
      </w:pPr>
      <w:r>
        <w:t>Inclusive healthcare starts with ordinary conversations</w:t>
      </w:r>
      <w:r/>
    </w:p>
    <w:p>
      <w:r/>
      <w:r>
        <w:t>A patient’s first impression may come from something as simple as an intake form or a receptionist’s question. Yet those small moments can carry real weight, particularly for LGBTQIA+ people who’ve previously faced assumptions, misgendering or dismissive treatment.</w:t>
      </w:r>
      <w:r/>
    </w:p>
    <w:p>
      <w:r/>
      <w:r>
        <w:t>The American Medical Association’s guidance on LGBTQ-friendly practice stresses the importance of using a patient’s stated name and pronouns, while avoiding assumptions about partners, families or bodies. It’s not complicated care, but it does require attention. A calm, respectful question can make an appointment feel safer almost instantly.</w:t>
      </w:r>
      <w:r/>
    </w:p>
    <w:p>
      <w:r/>
      <w:r>
        <w:t>Good communication also means explaining why sensitive information is being collected. Patients are more likely to answer honestly when they understand how details will support their treatment, rather than feeling they’re being examined out of curiosity.</w:t>
      </w:r>
      <w:r/>
    </w:p>
    <w:p>
      <w:pPr>
        <w:pStyle w:val="Heading2"/>
      </w:pPr>
      <w:r>
        <w:t>Why workplace policy matters as much as pay</w:t>
      </w:r>
      <w:r/>
    </w:p>
    <w:p>
      <w:r/>
      <w:r>
        <w:t>For healthcare jobseekers, an employer’s inclusion policy deserves the same scrutiny as salary, annual leave and rota arrangements. The Human Rights Campaign Foundation’s employment guidance points to clear nondiscrimination protections as a basic marker, but strong workplaces should go further.</w:t>
      </w:r>
      <w:r/>
    </w:p>
    <w:p>
      <w:r/>
      <w:r>
        <w:t>Look for benefits that recognise diverse families, straightforward processes for changing names in internal systems and confidential ways to report concerns. An employee resource group can be useful, too, although its existence shouldn’t let senior leaders off the hook. Responsibility belongs with management, not just the people most affected.</w:t>
      </w:r>
      <w:r/>
    </w:p>
    <w:p>
      <w:r/>
      <w:r>
        <w:t>The difference between a real policy and decorative wording often appears in the detail. Who investigates a complaint? How quickly are concerns addressed? What happens if a manager makes the problem worse? Vague answers can be more revealing than an awkward one.</w:t>
      </w:r>
      <w:r/>
    </w:p>
    <w:p>
      <w:pPr>
        <w:pStyle w:val="Heading2"/>
      </w:pPr>
      <w:r>
        <w:t>LGBTQIA+ healthcare workers still face everyday barriers</w:t>
      </w:r>
      <w:r/>
    </w:p>
    <w:p>
      <w:r/>
      <w:r>
        <w:t>Inclusive patient care and an inclusive staff culture are closely linked. Nursing Journal’s discussion of LGBTQ-inclusive nursing workplaces highlights challenges such as misgendering, intrusive questions and pressure to keep personal lives private. Those experiences can quietly drain confidence, even when there’s no single dramatic incident.</w:t>
      </w:r>
      <w:r/>
    </w:p>
    <w:p>
      <w:r/>
      <w:r>
        <w:t>Some workers may hesitate to report bias because they fear damaged relationships, poor appraisals or missed opportunities. That’s why a reporting system only works when staff trust the people running it. A policy hidden on an intranet won’t inspire much confidence if nobody can explain how it operates.</w:t>
      </w:r>
      <w:r/>
    </w:p>
    <w:p>
      <w:r/>
      <w:r>
        <w:t>If something does go wrong, keep dated notes and retain relevant workplace messages in line with company rules. A trusted manager, staff network, union representative or HR contact may help clarify the next step. It’s sensible to find out how reporting works before you need it.</w:t>
      </w:r>
      <w:r/>
    </w:p>
    <w:p>
      <w:pPr>
        <w:pStyle w:val="Heading2"/>
      </w:pPr>
      <w:r>
        <w:t>How to spot a genuinely supportive employer</w:t>
      </w:r>
      <w:r/>
    </w:p>
    <w:p>
      <w:r/>
      <w:r>
        <w:t>A job advert can promise an inclusive culture, but interviews offer a better chance to test the claim. Ask how often staff receive inclusion training, how chosen names appear in patient records and how managers respond to discriminatory comments. The answers should include people, processes and follow-up, not just broad commitments.</w:t>
      </w:r>
      <w:r/>
    </w:p>
    <w:p>
      <w:r/>
      <w:r>
        <w:t>The American Occupational Therapy Association’s resources on LGBTQIA+-inclusive environments emphasise the value of respectful systems and professional practice. In practical terms, notice whether staff introduce themselves thoughtfully, whether forms use inclusive language and whether the conversation treats inclusion as part of patient safety rather than a marketing extra.</w:t>
      </w:r>
      <w:r/>
    </w:p>
    <w:p>
      <w:r/>
      <w:r>
        <w:t>Contract, agency and travelling professionals should ask whether protections apply across every placement site. Before accepting an offer, review dress codes, leave policies, benefits and complaint procedures in writing. A supportive employer should be comfortable with those questions.</w:t>
      </w:r>
      <w:r/>
    </w:p>
    <w:p>
      <w:pPr>
        <w:pStyle w:val="Heading2"/>
      </w:pPr>
      <w:r>
        <w:t>Allyship is measured in the moments nobody posts about</w:t>
      </w:r>
      <w:r/>
    </w:p>
    <w:p>
      <w:r/>
      <w:r>
        <w:t>Effective allyship isn’t limited to awareness days or rainbow branding. It might mean correcting a colleague’s name during a handover, challenging a casual joke or suggesting better wording on a form. Research and professional guidance on inclusive healthcare environments consistently point towards everyday action, accountability and respectful communication.</w:t>
      </w:r>
      <w:r/>
    </w:p>
    <w:p>
      <w:r/>
      <w:r>
        <w:t>Allies also need to listen without turning the conversation into a performance. Credit colleagues for their ideas, accept corrections and avoid expecting LGBTQIA+ staff to provide unpaid education every time a problem appears. Managers have an added responsibility to protect people from retaliation and check whether complaints lead to meaningful change.</w:t>
      </w:r>
      <w:r/>
    </w:p>
    <w:p>
      <w:r/>
      <w:r>
        <w:t>For anyone choosing between healthcare careers, this is the useful test: does inclusion appear in the way work is organised, or only in the employer’s public language? The answer can shape both professional wellbeing and the quality of care patients receive.</w:t>
      </w:r>
      <w:r/>
    </w:p>
    <w:p>
      <w:r/>
      <w:r>
        <w:t>It's a small change in behaviour, but it can make a healthcare workplace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[7]</w:t>
        </w:r>
      </w:hyperlink>
      <w:r>
        <w:t xml:space="preserve">- Paragraph 6: </w:t>
      </w:r>
      <w:hyperlink r:id="rId14">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3">
        <w:r>
          <w:rPr>
            <w:color w:val="0000EE"/>
            <w:u w:val="single"/>
          </w:rPr>
          <w:t>[5]</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[7]</w:t>
        </w:r>
      </w:hyperlink>
      <w:r>
        <w:t xml:space="preserve">- Paragraph 10: </w:t>
      </w:r>
      <w:hyperlink r:id="rId14">
        <w:r>
          <w:rPr>
            <w:color w:val="0000EE"/>
            <w:u w:val="single"/>
          </w:rPr>
          <w:t>[6]</w:t>
        </w:r>
      </w:hyperlink>
      <w:r>
        <w:t xml:space="preserve">, </w:t>
      </w:r>
      <w:hyperlink r:id="rId12">
        <w:r>
          <w:rPr>
            <w:color w:val="0000EE"/>
            <w:u w:val="single"/>
          </w:rPr>
          <w:t>[7]</w:t>
        </w:r>
      </w:hyperlink>
      <w:r>
        <w:t xml:space="preserve">- Paragraph 11: </w:t>
      </w:r>
      <w:hyperlink r:id="rId13">
        <w:r>
          <w:rPr>
            <w:color w:val="0000EE"/>
            <w:u w:val="single"/>
          </w:rPr>
          <w:t>[5]</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[7]</w:t>
        </w:r>
      </w:hyperlink>
      <w:r>
        <w:t xml:space="preserve">- Paragraph 15: </w:t>
      </w:r>
      <w:hyperlink r:id="rId11">
        <w:r>
          <w:rPr>
            <w:color w:val="0000EE"/>
            <w:u w:val="single"/>
          </w:rPr>
          <w:t>[4]</w:t>
        </w:r>
      </w:hyperlink>
      <w:r>
        <w:t xml:space="preserve">, </w:t>
      </w:r>
      <w:hyperlink r:id="rId13">
        <w:r>
          <w:rPr>
            <w:color w:val="0000EE"/>
            <w:u w:val="single"/>
          </w:rPr>
          <w:t>[5]</w:t>
        </w:r>
      </w:hyperlink>
      <w:r>
        <w:t xml:space="preserve">- Paragraph 16: </w:t>
      </w:r>
      <w:hyperlink r:id="rId13">
        <w:r>
          <w:rPr>
            <w:color w:val="0000EE"/>
            <w:u w:val="single"/>
          </w:rPr>
          <w:t>[5]</w:t>
        </w:r>
      </w:hyperlink>
      <w:r>
        <w:t xml:space="preserve">, </w:t>
      </w:r>
      <w:hyperlink r:id="rId12">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[6]</w:t>
        </w:r>
      </w:hyperlink>
      <w:r>
        <w:t xml:space="preserve">- Paragraph 18: </w:t>
      </w:r>
      <w:hyperlink r:id="rId11">
        <w:r>
          <w:rPr>
            <w:color w:val="0000EE"/>
            <w:u w:val="single"/>
          </w:rPr>
          <w:t>[4]</w:t>
        </w:r>
      </w:hyperlink>
      <w:r>
        <w:t xml:space="preserve">, </w:t>
      </w:r>
      <w:hyperlink r:id="rId12">
        <w:r>
          <w:rPr>
            <w:color w:val="0000EE"/>
            <w:u w:val="single"/>
          </w:rPr>
          <w:t>[7]</w:t>
        </w:r>
      </w:hyperlink>
      <w:r>
        <w:t xml:space="preserve">- Paragraph 19: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https://outragemag.com/advocacy-and-allyship-in-healthcare-careers/</w:t>
        </w:r>
      </w:hyperlink>
      <w:r>
        <w:t xml:space="preserve"> - Please view link - unable to able to access data</w:t>
      </w:r>
      <w:r/>
    </w:p>
    <w:p>
      <w:pPr>
        <w:pStyle w:val="ListNumber"/>
        <w:spacing w:line="240" w:lineRule="auto"/>
        <w:ind w:left="720"/>
      </w:pPr>
      <w:r/>
      <w:hyperlink r:id="rId10">
        <w:r>
          <w:rPr>
            <w:color w:val="0000EE"/>
            <w:u w:val="single"/>
          </w:rPr>
          <w:t>https://www.ama-assn.org/public-health/population-health/creating-lgbtq-friendly-practice</w:t>
        </w:r>
      </w:hyperlink>
      <w:r>
        <w:t xml:space="preserve"> - This article from the American Medical Association provides guidelines for creating an LGBTQ-friendly medical practice. It suggests displaying educational materials about LGBTQ health concerns, posting nondiscrimination statements, and customizing patient intake forms to include options for sexual orientation and gender identity. The article also recommends consulting the 'Guidelines of Care for Lesbian, Gay, Bisexual and Transgender (LGBT) Patients' for advice on communicating with LGBTQ patients and creating responsive environments.</w:t>
      </w:r>
      <w:r/>
    </w:p>
    <w:p>
      <w:pPr>
        <w:pStyle w:val="ListNumber"/>
        <w:spacing w:line="240" w:lineRule="auto"/>
        <w:ind w:left="720"/>
      </w:pPr>
      <w:r/>
      <w:hyperlink r:id="rId15">
        <w:r>
          <w:rPr>
            <w:color w:val="0000EE"/>
            <w:u w:val="single"/>
          </w:rPr>
          <w:t>https://onlinelibrary.wiley.com/doi/abs/10.1111/1754-9485.13498</w:t>
        </w:r>
      </w:hyperlink>
      <w:r>
        <w:t xml:space="preserve"> - Published in the Journal of Medical Imaging and Radiation Oncology, this article discusses the importance of fostering an inclusive workplace for LGBTQIA+ individuals in radiology and radiation oncology departments. It highlights that despite social changes, LGBTQIA+ people still experience harassment and exclusion, negatively impacting their well-being and workplace productivity. The authors emphasize the need for proactive policies to create safe and inclusive spaces for marginalized groups.</w:t>
      </w:r>
      <w:r/>
    </w:p>
    <w:p>
      <w:pPr>
        <w:pStyle w:val="ListNumber"/>
        <w:spacing w:line="240" w:lineRule="auto"/>
        <w:ind w:left="720"/>
      </w:pPr>
      <w:r/>
      <w:hyperlink r:id="rId11">
        <w:r>
          <w:rPr>
            <w:color w:val="0000EE"/>
            <w:u w:val="single"/>
          </w:rPr>
          <w:t>https://www.thehrcfoundation.org/professional-resources/employment-non-discrimination</w:t>
        </w:r>
      </w:hyperlink>
      <w:r>
        <w:t xml:space="preserve"> - The Human Rights Campaign Foundation outlines the significance of employment non-discrimination policies that explicitly ban discrimination based on sexual orientation and gender identity. Such policies ensure equal treatment for LGBTQ+ employees and signal a welcoming environment to LGBTQ+ job applicants. The article underscores that including terms like 'sexual orientation' and 'gender identity or expression' in these policies demonstrates an employer's commitment to workplace equity.</w:t>
      </w:r>
      <w:r/>
    </w:p>
    <w:p>
      <w:pPr>
        <w:pStyle w:val="ListNumber"/>
        <w:spacing w:line="240" w:lineRule="auto"/>
        <w:ind w:left="720"/>
      </w:pPr>
      <w:r/>
      <w:hyperlink r:id="rId13">
        <w:r>
          <w:rPr>
            <w:color w:val="0000EE"/>
            <w:u w:val="single"/>
          </w:rPr>
          <w:t>https://www.sciencedirect.com/science/article/abs/pii/S1555415524003829</w:t>
        </w:r>
      </w:hyperlink>
      <w:r>
        <w:t xml:space="preserve"> - This article from The Journal for Nurse Practitioners discusses the creation of inclusive and affirming primary care environments for LGBTQIA+ patients. It highlights that the LGBTQIA+ community faces significant health disparities compared to the cisgender, heterosexual community. The authors stress the importance of safe and affirming healthcare spaces and illustrate how practices of any size can create inclusive environments for LGBTQIA+ patients.</w:t>
      </w:r>
      <w:r/>
    </w:p>
    <w:p>
      <w:pPr>
        <w:pStyle w:val="ListNumber"/>
        <w:spacing w:line="240" w:lineRule="auto"/>
        <w:ind w:left="720"/>
      </w:pPr>
      <w:r/>
      <w:hyperlink r:id="rId14">
        <w:r>
          <w:rPr>
            <w:color w:val="0000EE"/>
            <w:u w:val="single"/>
          </w:rPr>
          <w:t>https://nursejournal.org/articles/ways-to-make-nursing-workplace-lgbtq-inclusive/</w:t>
        </w:r>
      </w:hyperlink>
      <w:r>
        <w:t xml:space="preserve"> - NurseJournal.org provides six strategies to make nursing workplaces more inclusive for LGBTQ+ individuals. These include prioritizing diversity among staff, implementing inclusive policies, offering cultural competency training, using inclusive language, creating support networks, and celebrating LGBTQ+ events. The article emphasizes that when LGBTQ+ patients are cared for by LGBTQ+ nurses, they are more likely to receive care aligned with their needs.</w:t>
      </w:r>
      <w:r/>
    </w:p>
    <w:p>
      <w:pPr>
        <w:pStyle w:val="ListNumber"/>
        <w:spacing w:line="240" w:lineRule="auto"/>
        <w:ind w:left="720"/>
      </w:pPr>
      <w:r/>
      <w:hyperlink r:id="rId12">
        <w:r>
          <w:rPr>
            <w:color w:val="0000EE"/>
            <w:u w:val="single"/>
          </w:rPr>
          <w:t>https://www.aota.org/practice/practice-essentials/dei/transgender-and-gender-diverse-resources/promoting-lgbtqia-inclusive-environments</w:t>
        </w:r>
      </w:hyperlink>
      <w:r>
        <w:t xml:space="preserve"> - The American Occupational Therapy Association (AOTA) discusses promoting LGBTQIA+ inclusive environments in healthcare settings. The article suggests that occupational therapy practitioners can provide culturally inclusive services by incorporating cultural humility into practice when working with clients of different genders, sexualities, backgrounds, cultures, religions, and traditions. It also recommends displaying visible non-discrimination policies that include gender identity and sexual orientation to lay the foundation for an inclusive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advocacy-and-allyship-in-healthcare-careers/" TargetMode="External"/><Relationship Id="rId10" Type="http://schemas.openxmlformats.org/officeDocument/2006/relationships/hyperlink" Target="https://www.ama-assn.org/public-health/population-health/creating-lgbtq-friendly-practice" TargetMode="External"/><Relationship Id="rId11" Type="http://schemas.openxmlformats.org/officeDocument/2006/relationships/hyperlink" Target="https://www.thehrcfoundation.org/professional-resources/employment-non-discrimination" TargetMode="External"/><Relationship Id="rId12" Type="http://schemas.openxmlformats.org/officeDocument/2006/relationships/hyperlink" Target="https://www.aota.org/practice/practice-essentials/dei/transgender-and-gender-diverse-resources/promoting-lgbtqia-inclusive-environments" TargetMode="External"/><Relationship Id="rId13" Type="http://schemas.openxmlformats.org/officeDocument/2006/relationships/hyperlink" Target="https://www.sciencedirect.com/science/article/abs/pii/S1555415524003829" TargetMode="External"/><Relationship Id="rId14" Type="http://schemas.openxmlformats.org/officeDocument/2006/relationships/hyperlink" Target="https://nursejournal.org/articles/ways-to-make-nursing-workplace-lgbtq-inclusive/" TargetMode="External"/><Relationship Id="rId15" Type="http://schemas.openxmlformats.org/officeDocument/2006/relationships/hyperlink" Target="https://onlinelibrary.wiley.com/doi/abs/10.1111/1754-9485.134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