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 Inclusive Books for Primary School Classrooms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in Spain have found that carefully chosen LGBT-inclusive stories can help primary pupils develop more accepting attitudes, especially when reading is paired with open classroom discussion. The small study offers a hopeful, practical idea for schools looking to reduce prejudice and make literature feel more representative.</w:t>
      </w:r>
      <w:r/>
    </w:p>
    <w:p>
      <w:pPr>
        <w:pStyle w:val="Heading2"/>
      </w:pPr>
      <w:r>
        <w:t>Essential Takeaways</w:t>
      </w:r>
      <w:r/>
      <w:r/>
    </w:p>
    <w:p>
      <w:pPr>
        <w:pStyle w:val="ListBullet"/>
        <w:spacing w:line="240" w:lineRule="auto"/>
        <w:ind w:left="720"/>
      </w:pPr>
      <w:r/>
      <w:r>
        <w:rPr>
          <w:b/>
        </w:rPr>
        <w:t>A year-long reading project:</w:t>
      </w:r>
      <w:r>
        <w:t xml:space="preserve"> 77 sixth-form primary pupils in two schools in Elche took part.</w:t>
      </w:r>
      <w:r/>
    </w:p>
    <w:p>
      <w:pPr>
        <w:pStyle w:val="ListBullet"/>
        <w:spacing w:line="240" w:lineRule="auto"/>
        <w:ind w:left="720"/>
      </w:pPr>
      <w:r/>
      <w:r>
        <w:rPr>
          <w:b/>
        </w:rPr>
        <w:t>Stories made a difference:</w:t>
      </w:r>
      <w:r>
        <w:t xml:space="preserve"> Pupils reading LGBT-inclusive books showed more positive responses to same-sex relationships and friendship.</w:t>
      </w:r>
      <w:r/>
    </w:p>
    <w:p>
      <w:pPr>
        <w:pStyle w:val="ListBullet"/>
        <w:spacing w:line="240" w:lineRule="auto"/>
        <w:ind w:left="720"/>
      </w:pPr>
      <w:r/>
      <w:r>
        <w:rPr>
          <w:b/>
        </w:rPr>
        <w:t>Discussion mattered:</w:t>
      </w:r>
      <w:r>
        <w:t xml:space="preserve"> Teachers explored representation, rejection and bullying alongside the books.</w:t>
      </w:r>
      <w:r/>
    </w:p>
    <w:p>
      <w:pPr>
        <w:pStyle w:val="ListBullet"/>
        <w:spacing w:line="240" w:lineRule="auto"/>
        <w:ind w:left="720"/>
      </w:pPr>
      <w:r/>
      <w:r>
        <w:rPr>
          <w:b/>
        </w:rPr>
        <w:t>The evidence is early:</w:t>
      </w:r>
      <w:r>
        <w:t xml:space="preserve"> Researchers caution that the study involved only two schools, so wider research is needed.</w:t>
      </w:r>
      <w:r/>
    </w:p>
    <w:p>
      <w:pPr>
        <w:pStyle w:val="ListBullet"/>
        <w:spacing w:line="240" w:lineRule="auto"/>
        <w:ind w:left="720"/>
      </w:pPr>
      <w:r/>
      <w:r>
        <w:rPr>
          <w:b/>
        </w:rPr>
        <w:t>The wider goal:</w:t>
      </w:r>
      <w:r>
        <w:t xml:space="preserve"> Inclusive reading may support safer classrooms and help challenge homophobic and transphobic bullying.</w:t>
      </w:r>
      <w:r/>
      <w:r/>
    </w:p>
    <w:p>
      <w:pPr>
        <w:pStyle w:val="Heading2"/>
      </w:pPr>
      <w:r>
        <w:t>Stories can open a surprisingly honest conversation</w:t>
      </w:r>
      <w:r/>
    </w:p>
    <w:p>
      <w:r/>
      <w:r>
        <w:t xml:space="preserve">A picture book about two penguin fathers may sound gentle and uncontroversial, but stories can give children a safe way to discuss real questions about family, friendship and identity. That was the thinking behind a University of Alicante project examining whether LGBT-inclusive literature could influence attitudes in primary school. The findings suggest that carefully guided reading can make a meaningful difference. </w:t>
      </w:r>
      <w:hyperlink r:id="rId9">
        <w:r>
          <w:rPr>
            <w:color w:val="0000EE"/>
            <w:u w:val="single"/>
          </w:rPr>
          <w:t>[4]</w:t>
        </w:r>
      </w:hyperlink>
      <w:r>
        <w:t xml:space="preserve">, </w:t>
      </w:r>
      <w:hyperlink r:id="rId10">
        <w:r>
          <w:rPr>
            <w:color w:val="0000EE"/>
            <w:u w:val="single"/>
          </w:rPr>
          <w:t>[5]</w:t>
        </w:r>
      </w:hyperlink>
      <w:r/>
    </w:p>
    <w:p>
      <w:r/>
      <w:r>
        <w:t xml:space="preserve">The study involved 77 sixth-grade pupils across two schools in Elche. One group continued with its usual reading programme, while the other encountered picture books, poems, comics, traditional tales and young adult extracts featuring LGBT characters and relationships. According to the University of Alicante research team, the reading was followed by activities designed to encourage reflection rather than passive consumption. </w:t>
      </w:r>
      <w:hyperlink r:id="rId9">
        <w:r>
          <w:rPr>
            <w:color w:val="0000EE"/>
            <w:u w:val="single"/>
          </w:rPr>
          <w:t>[4]</w:t>
        </w:r>
      </w:hyperlink>
      <w:r>
        <w:t xml:space="preserve">, </w:t>
      </w:r>
      <w:hyperlink r:id="rId10">
        <w:r>
          <w:rPr>
            <w:color w:val="0000EE"/>
            <w:u w:val="single"/>
          </w:rPr>
          <w:t>[5]</w:t>
        </w:r>
      </w:hyperlink>
      <w:r/>
    </w:p>
    <w:p>
      <w:pPr>
        <w:pStyle w:val="Heading2"/>
      </w:pPr>
      <w:r>
        <w:t>What pupils read made the difference</w:t>
      </w:r>
      <w:r/>
    </w:p>
    <w:p>
      <w:r/>
      <w:r>
        <w:t xml:space="preserve">The experimental group explored titles including Little David, about a boy raised by two men, Titiritesa, which follows a girl attracted to another girl, and And Tango Makes Three, the familiar tale of two male penguins raising a chick. These stories offered different levels of complexity, from family life and affection to social rejection and bullying. </w:t>
      </w:r>
      <w:hyperlink r:id="rId9">
        <w:r>
          <w:rPr>
            <w:color w:val="0000EE"/>
            <w:u w:val="single"/>
          </w:rPr>
          <w:t>[4]</w:t>
        </w:r>
      </w:hyperlink>
      <w:r>
        <w:t xml:space="preserve">, </w:t>
      </w:r>
      <w:hyperlink r:id="rId10">
        <w:r>
          <w:rPr>
            <w:color w:val="0000EE"/>
            <w:u w:val="single"/>
          </w:rPr>
          <w:t>[5]</w:t>
        </w:r>
      </w:hyperlink>
      <w:r/>
    </w:p>
    <w:p>
      <w:r/>
      <w:r>
        <w:t xml:space="preserve">That range matters. Children aren't simply being shown a single version of LGBT experience; they're being invited to notice how characters are treated, how assumptions work and what inclusion looks like in ordinary life. Research on school-based interventions has similarly pointed to the importance of combining representation with structured conversation, rather than assuming a book alone will change attitudes. </w:t>
      </w:r>
      <w:hyperlink r:id="rId11">
        <w:r>
          <w:rPr>
            <w:color w:val="0000EE"/>
            <w:u w:val="single"/>
          </w:rPr>
          <w:t>[2]</w:t>
        </w:r>
      </w:hyperlink>
      <w:r>
        <w:t xml:space="preserve">, </w:t>
      </w:r>
      <w:hyperlink r:id="rId12">
        <w:r>
          <w:rPr>
            <w:color w:val="0000EE"/>
            <w:u w:val="single"/>
          </w:rPr>
          <w:t>[3]</w:t>
        </w:r>
      </w:hyperlink>
      <w:r/>
    </w:p>
    <w:p>
      <w:pPr>
        <w:pStyle w:val="Heading2"/>
      </w:pPr>
      <w:r>
        <w:t>The strongest shift was around same-sex attraction</w:t>
      </w:r>
      <w:r/>
    </w:p>
    <w:p>
      <w:r/>
      <w:r>
        <w:t xml:space="preserve">By the end of the school year, pupils who had taken part in the inclusive reading programme were more accepting of the possibility of being attracted to someone of the same sex. Positive responses reached 45.2 per cent in the reading group, compared with 28.3 per cent in the control group. Rejection was also lower, at 9.7 per cent compared with 30.4 per cent. </w:t>
      </w:r>
      <w:hyperlink r:id="rId9">
        <w:r>
          <w:rPr>
            <w:color w:val="0000EE"/>
            <w:u w:val="single"/>
          </w:rPr>
          <w:t>[4]</w:t>
        </w:r>
      </w:hyperlink>
      <w:r>
        <w:t xml:space="preserve">, </w:t>
      </w:r>
      <w:hyperlink r:id="rId10">
        <w:r>
          <w:rPr>
            <w:color w:val="0000EE"/>
            <w:u w:val="single"/>
          </w:rPr>
          <w:t>[5]</w:t>
        </w:r>
      </w:hyperlink>
      <w:r/>
    </w:p>
    <w:p>
      <w:r/>
      <w:r>
        <w:t xml:space="preserve">The researchers stress that this question wasn't measuring pupils' sexual orientation. Instead, it explored whether they could accept that possibility without immediately rejecting it. That distinction is important, particularly when discussing research involving children, and it prevents the results from being overstated. </w:t>
      </w:r>
      <w:hyperlink r:id="rId9">
        <w:r>
          <w:rPr>
            <w:color w:val="0000EE"/>
            <w:u w:val="single"/>
          </w:rPr>
          <w:t>[4]</w:t>
        </w:r>
      </w:hyperlink>
      <w:r>
        <w:t xml:space="preserve">, </w:t>
      </w:r>
      <w:hyperlink r:id="rId10">
        <w:r>
          <w:rPr>
            <w:color w:val="0000EE"/>
            <w:u w:val="single"/>
          </w:rPr>
          <w:t>[5]</w:t>
        </w:r>
      </w:hyperlink>
      <w:r/>
    </w:p>
    <w:p>
      <w:r/>
      <w:r>
        <w:t xml:space="preserve">Acceptance of bisexual and trans people was above 70 per cent in both groups, with no statistically significant difference between them. The study also found no meaningful change in responses about identifying with a different gender, showing that some attitudes may need different teaching approaches or longer-term support. </w:t>
      </w:r>
      <w:hyperlink r:id="rId9">
        <w:r>
          <w:rPr>
            <w:color w:val="0000EE"/>
            <w:u w:val="single"/>
          </w:rPr>
          <w:t>[4]</w:t>
        </w:r>
      </w:hyperlink>
      <w:r>
        <w:t xml:space="preserve">, </w:t>
      </w:r>
      <w:hyperlink r:id="rId10">
        <w:r>
          <w:rPr>
            <w:color w:val="0000EE"/>
            <w:u w:val="single"/>
          </w:rPr>
          <w:t>[5]</w:t>
        </w:r>
      </w:hyperlink>
      <w:r/>
    </w:p>
    <w:p>
      <w:pPr>
        <w:pStyle w:val="Heading2"/>
      </w:pPr>
      <w:r>
        <w:t>Why the teacher's role matters</w:t>
      </w:r>
      <w:r/>
    </w:p>
    <w:p>
      <w:r/>
      <w:r>
        <w:t xml:space="preserve">The books were only part of the intervention. Teachers also discussed characters who faced exclusion, asked pupils to examine stereotypes and created space for respectful disagreement. That guided element is crucial, because a child can encounter an inclusive story without necessarily understanding its wider social meaning. </w:t>
      </w:r>
      <w:hyperlink r:id="rId12">
        <w:r>
          <w:rPr>
            <w:color w:val="0000EE"/>
            <w:u w:val="single"/>
          </w:rPr>
          <w:t>[3]</w:t>
        </w:r>
      </w:hyperlink>
      <w:r>
        <w:t xml:space="preserve">, </w:t>
      </w:r>
      <w:hyperlink r:id="rId13">
        <w:r>
          <w:rPr>
            <w:color w:val="0000EE"/>
            <w:u w:val="single"/>
          </w:rPr>
          <w:t>[6]</w:t>
        </w:r>
      </w:hyperlink>
      <w:r/>
    </w:p>
    <w:p>
      <w:r/>
      <w:r>
        <w:t>For schools considering similar reading lists, the practical lesson is to choose age-appropriate books with care and prepare questions in advance. Ask whose family is visible, who gets left out, how a character is treated and what a kinder response might look like. It needn't become a heavy or awkward lesson; sometimes a calm question after a warm, engaging story is enough to get pupils thinking.</w:t>
      </w:r>
      <w:r/>
    </w:p>
    <w:p>
      <w:pPr>
        <w:pStyle w:val="Heading2"/>
      </w:pPr>
      <w:r>
        <w:t>A promising result, but not a final answer</w:t>
      </w:r>
      <w:r/>
    </w:p>
    <w:p>
      <w:r/>
      <w:r>
        <w:t xml:space="preserve">The researchers describe the work as an initial study, and its size is modest. It involved pupils from just two schools, while attitudes can also be shaped by family life, local culture, existing friendships and wider media. Larger studies would help establish whether the results hold across different regions and age groups. </w:t>
      </w:r>
      <w:hyperlink r:id="rId9">
        <w:r>
          <w:rPr>
            <w:color w:val="0000EE"/>
            <w:u w:val="single"/>
          </w:rPr>
          <w:t>[4]</w:t>
        </w:r>
      </w:hyperlink>
      <w:r>
        <w:t xml:space="preserve">, </w:t>
      </w:r>
      <w:hyperlink r:id="rId10">
        <w:r>
          <w:rPr>
            <w:color w:val="0000EE"/>
            <w:u w:val="single"/>
          </w:rPr>
          <w:t>[5]</w:t>
        </w:r>
      </w:hyperlink>
      <w:r/>
    </w:p>
    <w:p>
      <w:r/>
      <w:r>
        <w:t xml:space="preserve">Even so, the findings add weight to a straightforward idea: children benefit from seeing a wider range of lives in the books they read. Inclusive stories don't need to replace traditional tales or become a separate corner of the curriculum. Woven into everyday reading, they can make classrooms feel more truthful, more welcoming and perhaps a little safer too. </w:t>
      </w:r>
      <w:hyperlink r:id="rId11">
        <w:r>
          <w:rPr>
            <w:color w:val="0000EE"/>
            <w:u w:val="single"/>
          </w:rPr>
          <w:t>[2]</w:t>
        </w:r>
      </w:hyperlink>
      <w:r>
        <w:t xml:space="preserve">, </w:t>
      </w:r>
      <w:hyperlink r:id="rId12">
        <w:r>
          <w:rPr>
            <w:color w:val="0000EE"/>
            <w:u w:val="single"/>
          </w:rPr>
          <w:t>[3]</w:t>
        </w:r>
      </w:hyperlink>
      <w:r/>
    </w:p>
    <w:p>
      <w:r/>
      <w:r>
        <w:t>It's a small story with a sizeable classroom lesson: representation works best when children are invited to talk about it.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[4]</w:t>
        </w:r>
      </w:hyperlink>
      <w:r>
        <w:t xml:space="preserve">, </w:t>
      </w:r>
      <w:hyperlink r:id="rId10">
        <w:r>
          <w:rPr>
            <w:color w:val="0000EE"/>
            <w:u w:val="single"/>
          </w:rPr>
          <w:t>[5]</w:t>
        </w:r>
      </w:hyperlink>
      <w:r>
        <w:t xml:space="preserve">- Paragraph 2: </w:t>
      </w:r>
      <w:hyperlink r:id="rId9">
        <w:r>
          <w:rPr>
            <w:color w:val="0000EE"/>
            <w:u w:val="single"/>
          </w:rPr>
          <w:t>[4]</w:t>
        </w:r>
      </w:hyperlink>
      <w:r>
        <w:t xml:space="preserve">, </w:t>
      </w:r>
      <w:hyperlink r:id="rId10">
        <w:r>
          <w:rPr>
            <w:color w:val="0000EE"/>
            <w:u w:val="single"/>
          </w:rPr>
          <w:t>[5]</w:t>
        </w:r>
      </w:hyperlink>
      <w:r>
        <w:t xml:space="preserve">- Paragraph 3: </w:t>
      </w:r>
      <w:hyperlink r:id="rId9">
        <w:r>
          <w:rPr>
            <w:color w:val="0000EE"/>
            <w:u w:val="single"/>
          </w:rPr>
          <w:t>[4]</w:t>
        </w:r>
      </w:hyperlink>
      <w:r>
        <w:t xml:space="preserve">, </w:t>
      </w:r>
      <w:hyperlink r:id="rId10">
        <w:r>
          <w:rPr>
            <w:color w:val="0000EE"/>
            <w:u w:val="single"/>
          </w:rPr>
          <w:t>[5]</w:t>
        </w:r>
      </w:hyperlink>
      <w:r>
        <w:t xml:space="preserve">- Paragraph 4: </w:t>
      </w:r>
      <w:hyperlink r:id="rId11">
        <w:r>
          <w:rPr>
            <w:color w:val="0000EE"/>
            <w:u w:val="single"/>
          </w:rPr>
          <w:t>[2]</w:t>
        </w:r>
      </w:hyperlink>
      <w:r>
        <w:t xml:space="preserve">, </w:t>
      </w:r>
      <w:hyperlink r:id="rId12">
        <w:r>
          <w:rPr>
            <w:color w:val="0000EE"/>
            <w:u w:val="single"/>
          </w:rPr>
          <w:t>[3]</w:t>
        </w:r>
      </w:hyperlink>
      <w:r>
        <w:t xml:space="preserve">- Paragraph 5: </w:t>
      </w:r>
      <w:hyperlink r:id="rId9">
        <w:r>
          <w:rPr>
            <w:color w:val="0000EE"/>
            <w:u w:val="single"/>
          </w:rPr>
          <w:t>[4]</w:t>
        </w:r>
      </w:hyperlink>
      <w:r>
        <w:t xml:space="preserve">, </w:t>
      </w:r>
      <w:hyperlink r:id="rId10">
        <w:r>
          <w:rPr>
            <w:color w:val="0000EE"/>
            <w:u w:val="single"/>
          </w:rPr>
          <w:t>[5]</w:t>
        </w:r>
      </w:hyperlink>
      <w:r>
        <w:t xml:space="preserve">- Paragraph 6: </w:t>
      </w:r>
      <w:hyperlink r:id="rId9">
        <w:r>
          <w:rPr>
            <w:color w:val="0000EE"/>
            <w:u w:val="single"/>
          </w:rPr>
          <w:t>[4]</w:t>
        </w:r>
      </w:hyperlink>
      <w:r>
        <w:t xml:space="preserve">, </w:t>
      </w:r>
      <w:hyperlink r:id="rId10">
        <w:r>
          <w:rPr>
            <w:color w:val="0000EE"/>
            <w:u w:val="single"/>
          </w:rPr>
          <w:t>[5]</w:t>
        </w:r>
      </w:hyperlink>
      <w:r>
        <w:t xml:space="preserve">- Paragraph 7: </w:t>
      </w:r>
      <w:hyperlink r:id="rId9">
        <w:r>
          <w:rPr>
            <w:color w:val="0000EE"/>
            <w:u w:val="single"/>
          </w:rPr>
          <w:t>[4]</w:t>
        </w:r>
      </w:hyperlink>
      <w:r>
        <w:t xml:space="preserve">, </w:t>
      </w:r>
      <w:hyperlink r:id="rId10">
        <w:r>
          <w:rPr>
            <w:color w:val="0000EE"/>
            <w:u w:val="single"/>
          </w:rPr>
          <w:t>[5]</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2">
        <w:r>
          <w:rPr>
            <w:color w:val="0000EE"/>
            <w:u w:val="single"/>
          </w:rPr>
          <w:t>[3]</w:t>
        </w:r>
      </w:hyperlink>
      <w:r>
        <w:t xml:space="preserve">, </w:t>
      </w:r>
      <w:hyperlink r:id="rId13">
        <w:r>
          <w:rPr>
            <w:color w:val="0000EE"/>
            <w:u w:val="single"/>
          </w:rPr>
          <w:t>[6]</w:t>
        </w:r>
      </w:hyperlink>
      <w:r>
        <w:t xml:space="preserve">- Paragraph 10: </w:t>
      </w:r>
      <w:hyperlink r:id="rId9">
        <w:r>
          <w:rPr>
            <w:color w:val="0000EE"/>
            <w:u w:val="single"/>
          </w:rPr>
          <w:t>[4]</w:t>
        </w:r>
      </w:hyperlink>
      <w:r>
        <w:t xml:space="preserve">, </w:t>
      </w:r>
      <w:hyperlink r:id="rId10">
        <w:r>
          <w:rPr>
            <w:color w:val="0000EE"/>
            <w:u w:val="single"/>
          </w:rPr>
          <w:t>[5]</w:t>
        </w:r>
      </w:hyperlink>
      <w:r>
        <w:t xml:space="preserve">- Paragraph 11: </w:t>
      </w:r>
      <w:hyperlink r:id="rId9">
        <w:r>
          <w:rPr>
            <w:color w:val="0000EE"/>
            <w:u w:val="single"/>
          </w:rPr>
          <w:t>[4]</w:t>
        </w:r>
      </w:hyperlink>
      <w:r>
        <w:t xml:space="preserve">, </w:t>
      </w:r>
      <w:hyperlink r:id="rId10">
        <w:r>
          <w:rPr>
            <w:color w:val="0000EE"/>
            <w:u w:val="single"/>
          </w:rPr>
          <w:t>[5]</w:t>
        </w:r>
      </w:hyperlink>
      <w:r>
        <w:t xml:space="preserve">- Paragraph 12: </w:t>
      </w:r>
      <w:hyperlink r:id="rId11">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https://phys.org/news/2026-10-lgbt-stories-linked-inclusive-attitudes.html</w:t>
        </w:r>
      </w:hyperlink>
      <w:r>
        <w:t xml:space="preserve"> - Please view link - unable to able to access data</w:t>
      </w:r>
      <w:r/>
    </w:p>
    <w:p>
      <w:pPr>
        <w:pStyle w:val="ListNumber"/>
        <w:spacing w:line="240" w:lineRule="auto"/>
        <w:ind w:left="720"/>
      </w:pPr>
      <w:r/>
      <w:hyperlink r:id="rId11">
        <w:r>
          <w:rPr>
            <w:color w:val="0000EE"/>
            <w:u w:val="single"/>
          </w:rPr>
          <w:t>https://www.sciencedirect.com/science/article/pii/S019074092400183X</w:t>
        </w:r>
      </w:hyperlink>
      <w:r>
        <w:t xml:space="preserve"> - This article examines the impact of gender socialization and supportive school settings on elementary-aged LGBTIQ+ children. It highlights that discrimination increases mental health risks for these students and that LGBTIQ+-inclusive education serves as a protective factor for all students. The study emphasizes the importance of early socialization of normative gender and sexuality and advocates for supportive educational policies to safeguard LGBTIQ+ students' well-being. The authors suggest that children's rights frameworks are essential in developing protective educational policies.</w:t>
      </w:r>
      <w:r/>
    </w:p>
    <w:p>
      <w:pPr>
        <w:pStyle w:val="ListNumber"/>
        <w:spacing w:line="240" w:lineRule="auto"/>
        <w:ind w:left="720"/>
      </w:pPr>
      <w:r/>
      <w:hyperlink r:id="rId12">
        <w:r>
          <w:rPr>
            <w:color w:val="0000EE"/>
            <w:u w:val="single"/>
          </w:rPr>
          <w:t>https://educar.uab.cat/article/view/v62-n2-arenas-et-al</w:t>
        </w:r>
      </w:hyperlink>
      <w:r>
        <w:t xml:space="preserve"> - This research explores the pedagogical impact of children's literature featuring LGTBIQ+ characters in early childhood education. Conducted with 55 children aged 3 to 6, the study utilized pretest and posttest assessments without a control group. Through selected stories that positively portray affective-sexual diversity, the study evaluated attitudes towards four areas: same-sex families, male homosexuality, female homosexuality, and gender stereotypes. The findings indicate significant improvements in acceptance of diversity, particularly in recognizing diverse families and same-sex love, suggesting that such literature can help prevent LGTBIfobia in educational contexts.</w:t>
      </w:r>
      <w:r/>
    </w:p>
    <w:p>
      <w:pPr>
        <w:pStyle w:val="ListNumber"/>
        <w:spacing w:line="240" w:lineRule="auto"/>
        <w:ind w:left="720"/>
      </w:pPr>
      <w:r/>
      <w:hyperlink r:id="rId9">
        <w:r>
          <w:rPr>
            <w:color w:val="0000EE"/>
            <w:u w:val="single"/>
          </w:rPr>
          <w:t>https://www.eurekalert.org/news-releases/1146968</w:t>
        </w:r>
      </w:hyperlink>
      <w:r>
        <w:t xml:space="preserve"> - A study conducted by researchers from the University of Alicante investigates whether literature can enhance acceptance of LGBT individuals among primary school students. Published in the journal Education Sciences, the research indicates that incorporating readings related to affective-sexual and gender diversity in classrooms can foster more positive attitudes towards the inclusion of non-heteronormative identities. The study involved interventions in Spanish language and literature classes with sixth-grade students across two schools in Elche, suggesting that such educational practices can lead to positive changes in students' perceptions.</w:t>
      </w:r>
      <w:r/>
    </w:p>
    <w:p>
      <w:pPr>
        <w:pStyle w:val="ListNumber"/>
        <w:spacing w:line="240" w:lineRule="auto"/>
        <w:ind w:left="720"/>
      </w:pPr>
      <w:r/>
      <w:hyperlink r:id="rId10">
        <w:r>
          <w:rPr>
            <w:color w:val="0000EE"/>
            <w:u w:val="single"/>
          </w:rPr>
          <w:t>https://www.europapress.es/comunitat-valenciana/noticia-estudio-senala-incluir-lecturas-personajes-historias-lgtb-asocia-actitudes-mas-inclusivas-primaria-20261008115601.html</w:t>
        </w:r>
      </w:hyperlink>
      <w:r>
        <w:t xml:space="preserve"> - An article reports on a study by researchers from the University of Alicante, which indicates that introducing readings with LGBT characters and stories is associated with more inclusive attitudes in primary education. Published in the international scientific journal Education Sciences, the study suggests that incorporating such readings into classrooms can promote positive changes in the inclusion of non-heteronormative identities. The research involved interventions in Spanish language and literature classes with sixth-grade students across two schools in Elche, highlighting the potential impact of literature on fostering inclusivity among young students.</w:t>
      </w:r>
      <w:r/>
    </w:p>
    <w:p>
      <w:pPr>
        <w:pStyle w:val="ListNumber"/>
        <w:spacing w:line="240" w:lineRule="auto"/>
        <w:ind w:left="720"/>
      </w:pPr>
      <w:r/>
      <w:hyperlink r:id="rId13">
        <w:r>
          <w:rPr>
            <w:color w:val="0000EE"/>
            <w:u w:val="single"/>
          </w:rPr>
          <w:t>https://www.tandfonline.com/doi/abs/10.1080/1550428X.2021.2010248</w:t>
        </w:r>
      </w:hyperlink>
      <w:r>
        <w:t xml:space="preserve"> - This study examines the impact of introducing texts portraying diverse families into language and literature classes on students' attitudes towards families formed by two fathers, two mothers, or one LGBT parent. Conducted with 77 students, the research found that participants who read texts depicting diverse families were more likely to accept affective, sexual, and gender diversity in their families. The study emphasizes the importance of incorporating such literature to promote inclusivity and acceptance among primary school students.</w:t>
      </w:r>
      <w:r/>
    </w:p>
    <w:p>
      <w:pPr>
        <w:pStyle w:val="ListNumber"/>
        <w:spacing w:line="240" w:lineRule="auto"/>
        <w:ind w:left="720"/>
      </w:pPr>
      <w:r/>
      <w:hyperlink r:id="rId15">
        <w:r>
          <w:rPr>
            <w:color w:val="0000EE"/>
            <w:u w:val="single"/>
          </w:rPr>
          <w:t>https://stars.library.ucf.edu/honorstheses1990-2015/1166/</w:t>
        </w:r>
      </w:hyperlink>
      <w:r>
        <w:t xml:space="preserve"> - This thesis explores the inclusion of LGBT topics in elementary classrooms, focusing on the rarity of LGBT presence in children's literature and the challenges associated with introducing these topics into the curriculum. The author discusses the importance of providing an inclusive environment for LGBT students and families, not to expose children to explicit sexual discussions but to establish a community of tolerance and acceptance. The thesis aims to create a handbook for preservice teachers to assist in incorporating LGBT themes into elementary education.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urekalert.org/news-releases/1146968" TargetMode="External"/><Relationship Id="rId10" Type="http://schemas.openxmlformats.org/officeDocument/2006/relationships/hyperlink" Target="https://www.europapress.es/comunitat-valenciana/noticia-estudio-senala-incluir-lecturas-personajes-historias-lgtb-asocia-actitudes-mas-inclusivas-primaria-20261008115601.html" TargetMode="External"/><Relationship Id="rId11" Type="http://schemas.openxmlformats.org/officeDocument/2006/relationships/hyperlink" Target="https://www.sciencedirect.com/science/article/pii/S019074092400183X" TargetMode="External"/><Relationship Id="rId12" Type="http://schemas.openxmlformats.org/officeDocument/2006/relationships/hyperlink" Target="https://educar.uab.cat/article/view/v62-n2-arenas-et-al" TargetMode="External"/><Relationship Id="rId13" Type="http://schemas.openxmlformats.org/officeDocument/2006/relationships/hyperlink" Target="https://www.tandfonline.com/doi/abs/10.1080/1550428X.2021.2010248" TargetMode="External"/><Relationship Id="rId14" Type="http://schemas.openxmlformats.org/officeDocument/2006/relationships/hyperlink" Target="https://phys.org/news/2026-10-lgbt-stories-linked-inclusive-attitudes.html" TargetMode="External"/><Relationship Id="rId15" Type="http://schemas.openxmlformats.org/officeDocument/2006/relationships/hyperlink" Target="https://stars.library.ucf.edu/honorstheses1990-2015/116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