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Best Anti-Bullying Support Strategies for LGBTQ+ Youth</w:t>
      </w:r>
      <w:r/>
    </w:p>
    <w:p>
      <w:r/>
      <w:r/>
    </w:p>
    <w:p>
      <w:r>
        <w:drawing>
          <wp:inline xmlns:a="http://schemas.openxmlformats.org/drawingml/2006/main" xmlns:pic="http://schemas.openxmlformats.org/drawingml/2006/picture">
            <wp:extent cx="5080000" cy="3408101"/>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3408101"/>
                    </a:xfrm>
                    <a:prstGeom prst="rect"/>
                  </pic:spPr>
                </pic:pic>
              </a:graphicData>
            </a:graphic>
          </wp:inline>
        </w:drawing>
      </w:r>
    </w:p>
    <w:p>
      <w:r/>
      <w:r>
        <w:rPr>
          <w:b/>
        </w:rPr>
        <w:t>Young LGBTQ+ people can face bullying in classrooms, group chats and family circles, but practical support can make a meaningful difference. A new guide from The Trevor Project encourages friends, schools and adults to focus less on teaching young people to endure harm and more on building safer, more supportive communities.</w:t>
      </w:r>
      <w:r/>
    </w:p>
    <w:p>
      <w:pPr>
        <w:pStyle w:val="Heading2"/>
      </w:pPr>
      <w:r>
        <w:t>Essential Takeaways</w:t>
      </w:r>
      <w:r/>
      <w:r/>
    </w:p>
    <w:p>
      <w:pPr>
        <w:pStyle w:val="ListBullet"/>
        <w:spacing w:line="240" w:lineRule="auto"/>
        <w:ind w:left="720"/>
      </w:pPr>
      <w:r/>
      <w:r>
        <w:rPr>
          <w:b/>
        </w:rPr>
        <w:t>Bullying takes many forms:</w:t>
      </w:r>
      <w:r>
        <w:t xml:space="preserve"> It can involve insults, exclusion, physical intimidation, rumours or the sharing of private information online.</w:t>
      </w:r>
      <w:r/>
    </w:p>
    <w:p>
      <w:pPr>
        <w:pStyle w:val="ListBullet"/>
        <w:spacing w:line="240" w:lineRule="auto"/>
        <w:ind w:left="720"/>
      </w:pPr>
      <w:r/>
      <w:r>
        <w:rPr>
          <w:b/>
        </w:rPr>
        <w:t>Support reduces isolation:</w:t>
      </w:r>
      <w:r>
        <w:t xml:space="preserve"> Staying nearby, checking in afterwards and reminding someone they aren't alone can help.</w:t>
      </w:r>
      <w:r/>
    </w:p>
    <w:p>
      <w:pPr>
        <w:pStyle w:val="ListBullet"/>
        <w:spacing w:line="240" w:lineRule="auto"/>
        <w:ind w:left="720"/>
      </w:pPr>
      <w:r/>
      <w:r>
        <w:rPr>
          <w:b/>
        </w:rPr>
        <w:t>Safety comes first:</w:t>
      </w:r>
      <w:r>
        <w:t xml:space="preserve"> Nobody has to confront a bully directly, particularly when a situation feels unpredictable or threatening.</w:t>
      </w:r>
      <w:r/>
    </w:p>
    <w:p>
      <w:pPr>
        <w:pStyle w:val="ListBullet"/>
        <w:spacing w:line="240" w:lineRule="auto"/>
        <w:ind w:left="720"/>
      </w:pPr>
      <w:r/>
      <w:r>
        <w:rPr>
          <w:b/>
        </w:rPr>
        <w:t>Reporting matters:</w:t>
      </w:r>
      <w:r>
        <w:t xml:space="preserve"> School systems and platform tools can help document and challenge repeated abuse.</w:t>
      </w:r>
      <w:r/>
    </w:p>
    <w:p>
      <w:pPr>
        <w:pStyle w:val="ListBullet"/>
        <w:spacing w:line="240" w:lineRule="auto"/>
        <w:ind w:left="720"/>
      </w:pPr>
      <w:r/>
      <w:r>
        <w:rPr>
          <w:b/>
        </w:rPr>
        <w:t>The impact is serious:</w:t>
      </w:r>
      <w:r>
        <w:t xml:space="preserve"> Bullying can affect mental health, belonging, school attendance and physical safety.</w:t>
      </w:r>
      <w:r/>
      <w:r/>
    </w:p>
    <w:p>
      <w:pPr>
        <w:pStyle w:val="Heading2"/>
      </w:pPr>
      <w:r>
        <w:t>LGBTQ+ bullying is not something young people should have to simply endure</w:t>
      </w:r>
      <w:r/>
    </w:p>
    <w:p>
      <w:r/>
      <w:r>
        <w:t>Bullying often arrives disguised as a joke, a sarcastic comment or a message dropped into a group chat. But for LGBTQ+ young people, repeated hostility can affect far more than one uncomfortable moment. The CDC says LGBTQ+ youth face elevated risks linked to mental health, safety and school experiences, while research continues to connect bullying with serious emotional harm.</w:t>
      </w:r>
      <w:r/>
    </w:p>
    <w:p>
      <w:r/>
      <w:r>
        <w:t>That makes the familiar advice to "ignore it" feel especially inadequate. According to the Trevor Project, the emphasis should shift from asking targeted young people to become tougher to asking peers, adults and institutions what they're doing to stop the behaviour in the first place.</w:t>
      </w:r>
      <w:r/>
    </w:p>
    <w:p>
      <w:r/>
      <w:r>
        <w:t>The Human Rights Campaign has also highlighted the pressures LGBTQ+ youth can face across school, home and wider society. A supportive response isn't a luxury or a soft extra. It can help restore a sense of belonging when bullying is trying to strip it away.</w:t>
      </w:r>
      <w:r/>
    </w:p>
    <w:p>
      <w:pPr>
        <w:pStyle w:val="Heading2"/>
      </w:pPr>
      <w:r>
        <w:t>What bullying can look like offline and online</w:t>
      </w:r>
      <w:r/>
    </w:p>
    <w:p>
      <w:r/>
      <w:r>
        <w:t>Traditional bullying can be obvious, such as name-calling, threats or physical aggression. It can also be quieter: leaving someone out repeatedly, turning a friendship group against them or using a person's identity as a punchline. These less visible behaviours can still make school corridors, sports teams and social spaces feel hostile.</w:t>
      </w:r>
      <w:r/>
    </w:p>
    <w:p>
      <w:r/>
      <w:r>
        <w:t>Online, the situation can become harder to escape. Hurtful posts, rumours, exclusion from group chats and the circulation of sensitive information can follow someone home and spread quickly. Guidance collected by the Children's Health Council describes bullying as a problem that can cross between digital and real-world spaces, rather than remaining neatly in one setting.</w:t>
      </w:r>
      <w:r/>
    </w:p>
    <w:p>
      <w:r/>
      <w:r>
        <w:t>The result is often a pile-up of stress. A young person may worry about the next lesson, the next notification or who has seen a private message. That constant alertness is one reason adults should treat reports seriously, even when the behaviour is dismissed as banter.</w:t>
      </w:r>
      <w:r/>
    </w:p>
    <w:p>
      <w:pPr>
        <w:pStyle w:val="Heading2"/>
      </w:pPr>
      <w:r>
        <w:t>You don't have to confront a bully to be helpful</w:t>
      </w:r>
      <w:r/>
    </w:p>
    <w:p>
      <w:r/>
      <w:r>
        <w:t>Directly challenging harmful behaviour can sometimes work, but it's not the only useful response. If speaking up feels unsafe, a friend can redirect the conversation, move closer to the person being targeted or involve a trusted adult. A calm change of subject may look small, but it can interrupt the moment and deny the bully an audience.</w:t>
      </w:r>
      <w:r/>
    </w:p>
    <w:p>
      <w:r/>
      <w:r>
        <w:t>Checking in later matters too. A simple message such as "Are you all right?" can reassure someone who has been left feeling exposed or alone. The CDC's youth health guidance stresses the importance of supportive environments, and that support often begins with one person choosing not to look away.</w:t>
      </w:r>
      <w:r/>
    </w:p>
    <w:p>
      <w:r/>
      <w:r>
        <w:t>There is no prize for taking the greatest risk. The best response is the one that's safe and realistic for the people involved, whether that means contacting a pastoral lead, parent, youth worker or platform moderator.</w:t>
      </w:r>
      <w:r/>
    </w:p>
    <w:p>
      <w:pPr>
        <w:pStyle w:val="Heading2"/>
      </w:pPr>
      <w:r>
        <w:t>How to respond safely when bullying happens online</w:t>
      </w:r>
      <w:r/>
    </w:p>
    <w:p>
      <w:r/>
      <w:r>
        <w:t>Digital bullying can leave evidence, so saving screenshots, dates, usernames and links may help establish a pattern. Avoid forwarding harmful material unnecessarily, though, as sharing it can extend the damage. Instead, keep relevant records privately and use the platform's reporting and blocking tools.</w:t>
      </w:r>
      <w:r/>
    </w:p>
    <w:p>
      <w:r/>
      <w:r>
        <w:t>Schools and colleges may also have online safety or safeguarding procedures. Reporting through the correct route can feel frustratingly formal, but it creates a record and gives responsible adults a clearer basis for action. The Trevor Project's advice is practical here: don't assume the targeted person has to manage the process alone.</w:t>
      </w:r>
      <w:r/>
    </w:p>
    <w:p>
      <w:r/>
      <w:r>
        <w:t>Friends can also reduce the social reward that keeps online bullying going. Don't like, repost or pile into cruel comments, and consider sending a private message of support. The Human Rights Campaign's reporting on LGBTQ+ youth reinforces a simple point: community can be protective, while public isolation can make an already difficult situation feel much worse.</w:t>
      </w:r>
      <w:r/>
    </w:p>
    <w:p>
      <w:pPr>
        <w:pStyle w:val="Heading2"/>
      </w:pPr>
      <w:r>
        <w:t>What schools, families and communities can do next</w:t>
      </w:r>
      <w:r/>
    </w:p>
    <w:p>
      <w:r/>
      <w:r>
        <w:t>Young people need more than one-off assemblies or a poster in a corridor. Schools can make reporting routes easy to find, train staff to respond to LGBTQ+ specific harassment and ensure policies cover both identity-based abuse and cyberbullying. Adults should listen carefully, avoid blaming the target and explain what will happen next.</w:t>
      </w:r>
      <w:r/>
    </w:p>
    <w:p>
      <w:r/>
      <w:r>
        <w:t>Families and community groups have a role too. Consistently using a young person's name and pronouns, challenging casual slurs and creating spaces where questions can be asked without ridicule all help build trust. Research published in the Journal of Adolescent Health has examined the links between bullying, minority stress and youth wellbeing, underlining why prevention needs to be ongoing rather than reactive.</w:t>
      </w:r>
      <w:r/>
    </w:p>
    <w:p>
      <w:r/>
      <w:r>
        <w:t>The wider outlook is mixed but not hopeless. Axios has reported on the continuing mental health pressures affecting LGBTQ+ youth, yet support from peers, trusted adults and affirming organisations remains a practical source of protection. Sometimes the most powerful intervention is simply making sure a young person knows someone will stand beside them tomorrow, too.</w:t>
      </w:r>
      <w:r/>
    </w:p>
    <w:p>
      <w:r/>
      <w:r>
        <w:t>Small acts of solidarity can help make safety feel shared rather than imposed on the person being bullied.</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[2]</w:t>
        </w:r>
      </w:hyperlink>
      <w:r>
        <w:t xml:space="preserve">, </w:t>
      </w:r>
      <w:hyperlink r:id="rId11">
        <w:r>
          <w:rPr>
            <w:color w:val="0000EE"/>
            <w:u w:val="single"/>
          </w:rPr>
          <w:t>[3]</w:t>
        </w:r>
      </w:hyperlink>
      <w:r>
        <w:t xml:space="preserve">- Paragraph 2: </w:t>
      </w:r>
      <w:hyperlink r:id="rId12">
        <w:r>
          <w:rPr>
            <w:color w:val="0000EE"/>
            <w:u w:val="single"/>
          </w:rPr>
          <w:t>[4]</w:t>
        </w:r>
      </w:hyperlink>
      <w:r>
        <w:t xml:space="preserve">, </w:t>
      </w:r>
      <w:hyperlink r:id="rId13">
        <w:r>
          <w:rPr>
            <w:color w:val="0000EE"/>
            <w:u w:val="single"/>
          </w:rPr>
          <w:t>[6]</w:t>
        </w:r>
      </w:hyperlink>
      <w:r>
        <w:t xml:space="preserve">- Paragraph 3: </w:t>
      </w:r>
      <w:hyperlink r:id="rId10">
        <w:r>
          <w:rPr>
            <w:color w:val="0000EE"/>
            <w:u w:val="single"/>
          </w:rPr>
          <w:t>[2]</w:t>
        </w:r>
      </w:hyperlink>
      <w:r>
        <w:t xml:space="preserve">, </w:t>
      </w:r>
      <w:hyperlink r:id="rId11">
        <w:r>
          <w:rPr>
            <w:color w:val="0000EE"/>
            <w:u w:val="single"/>
          </w:rPr>
          <w:t>[3]</w:t>
        </w:r>
      </w:hyperlink>
      <w:r>
        <w:t xml:space="preserve">- Paragraph 4: </w:t>
      </w:r>
      <w:hyperlink r:id="rId14">
        <w:r>
          <w:rPr>
            <w:color w:val="0000EE"/>
            <w:u w:val="single"/>
          </w:rPr>
          <w:t>[5]</w:t>
        </w:r>
      </w:hyperlink>
      <w:r>
        <w:t xml:space="preserve">, </w:t>
      </w:r>
      <w:hyperlink r:id="rId13">
        <w:r>
          <w:rPr>
            <w:color w:val="0000EE"/>
            <w:u w:val="single"/>
          </w:rPr>
          <w:t>[6]</w:t>
        </w:r>
      </w:hyperlink>
      <w:r>
        <w:t xml:space="preserve">- Paragraph 5: </w:t>
      </w:r>
      <w:hyperlink r:id="rId10">
        <w:r>
          <w:rPr>
            <w:color w:val="0000EE"/>
            <w:u w:val="single"/>
          </w:rPr>
          <w:t>[2]</w:t>
        </w:r>
      </w:hyperlink>
      <w:r>
        <w:t xml:space="preserve">, </w:t>
      </w:r>
      <w:hyperlink r:id="rId12">
        <w:r>
          <w:rPr>
            <w:color w:val="0000EE"/>
            <w:u w:val="single"/>
          </w:rPr>
          <w:t>[4]</w:t>
        </w:r>
      </w:hyperlink>
      <w:r>
        <w:t xml:space="preserve">- Paragraph 6: </w:t>
      </w:r>
      <w:hyperlink r:id="rId11">
        <w:r>
          <w:rPr>
            <w:color w:val="0000EE"/>
            <w:u w:val="single"/>
          </w:rPr>
          <w:t>[3]</w:t>
        </w:r>
      </w:hyperlink>
      <w:r>
        <w:t xml:space="preserve">, </w:t>
      </w:r>
      <w:hyperlink r:id="rId15">
        <w:r>
          <w:rPr>
            <w:color w:val="0000EE"/>
            <w:u w:val="single"/>
          </w:rPr>
          <w:t>[7]</w:t>
        </w:r>
      </w:hyperlink>
      <w:r>
        <w:t xml:space="preserve">- Paragraph 7: </w:t>
      </w:r>
      <w:hyperlink r:id="rId10">
        <w:r>
          <w:rPr>
            <w:color w:val="0000EE"/>
            <w:u w:val="single"/>
          </w:rPr>
          <w:t>[2]</w:t>
        </w:r>
      </w:hyperlink>
      <w:r>
        <w:t xml:space="preserve">, </w:t>
      </w:r>
      <w:hyperlink r:id="rId13">
        <w:r>
          <w:rPr>
            <w:color w:val="0000EE"/>
            <w:u w:val="single"/>
          </w:rPr>
          <w:t>[6]</w:t>
        </w:r>
      </w:hyperlink>
      <w:r>
        <w:t xml:space="preserve">- Paragraph 8: </w:t>
      </w:r>
      <w:hyperlink r:id="rId9">
        <w:r>
          <w:rPr>
            <w:color w:val="0000EE"/>
            <w:u w:val="single"/>
          </w:rPr>
          <w:t>[1]</w:t>
        </w:r>
      </w:hyperlink>
      <w:r>
        <w:t xml:space="preserve">, </w:t>
      </w:r>
      <w:hyperlink r:id="rId11">
        <w:r>
          <w:rPr>
            <w:color w:val="0000EE"/>
            <w:u w:val="single"/>
          </w:rPr>
          <w:t>[3]</w:t>
        </w:r>
      </w:hyperlink>
      <w:r>
        <w:t xml:space="preserve">- Paragraph 9: </w:t>
      </w:r>
      <w:hyperlink r:id="rId13">
        <w:r>
          <w:rPr>
            <w:color w:val="0000EE"/>
            <w:u w:val="single"/>
          </w:rPr>
          <w:t>[6]</w:t>
        </w:r>
      </w:hyperlink>
      <w:r>
        <w:t xml:space="preserve">, </w:t>
      </w:r>
      <w:hyperlink r:id="rId10">
        <w:r>
          <w:rPr>
            <w:color w:val="0000EE"/>
            <w:u w:val="single"/>
          </w:rPr>
          <w:t>[2]</w:t>
        </w:r>
      </w:hyperlink>
      <w:r>
        <w:t xml:space="preserve">- Paragraph 10: </w:t>
      </w:r>
      <w:hyperlink r:id="rId9">
        <w:r>
          <w:rPr>
            <w:color w:val="0000EE"/>
            <w:u w:val="single"/>
          </w:rPr>
          <w:t>[1]</w:t>
        </w:r>
      </w:hyperlink>
      <w:r>
        <w:t xml:space="preserve">, </w:t>
      </w:r>
      <w:hyperlink r:id="rId12">
        <w:r>
          <w:rPr>
            <w:color w:val="0000EE"/>
            <w:u w:val="single"/>
          </w:rPr>
          <w:t>[4]</w:t>
        </w:r>
      </w:hyperlink>
      <w:r>
        <w:t xml:space="preserve">- Paragraph 11: </w:t>
      </w:r>
      <w:hyperlink r:id="rId11">
        <w:r>
          <w:rPr>
            <w:color w:val="0000EE"/>
            <w:u w:val="single"/>
          </w:rPr>
          <w:t>[3]</w:t>
        </w:r>
      </w:hyperlink>
      <w:r>
        <w:t xml:space="preserve">, </w:t>
      </w:r>
      <w:hyperlink r:id="rId14">
        <w:r>
          <w:rPr>
            <w:color w:val="0000EE"/>
            <w:u w:val="single"/>
          </w:rPr>
          <w:t>[5]</w:t>
        </w:r>
      </w:hyperlink>
      <w:r>
        <w:t xml:space="preserve">- Paragraph 12: </w:t>
      </w:r>
      <w:hyperlink r:id="rId10">
        <w:r>
          <w:rPr>
            <w:color w:val="0000EE"/>
            <w:u w:val="single"/>
          </w:rPr>
          <w:t>[2]</w:t>
        </w:r>
      </w:hyperlink>
      <w:r>
        <w:t xml:space="preserve">, </w:t>
      </w:r>
      <w:hyperlink r:id="rId12">
        <w:r>
          <w:rPr>
            <w:color w:val="0000EE"/>
            <w:u w:val="single"/>
          </w:rPr>
          <w:t>[4]</w:t>
        </w:r>
      </w:hyperlink>
      <w:r>
        <w:t xml:space="preserve">- Paragraph 13: </w:t>
      </w:r>
      <w:hyperlink r:id="rId14">
        <w:r>
          <w:rPr>
            <w:color w:val="0000EE"/>
            <w:u w:val="single"/>
          </w:rPr>
          <w:t>[5]</w:t>
        </w:r>
      </w:hyperlink>
      <w:r>
        <w:t xml:space="preserve">, </w:t>
      </w:r>
      <w:hyperlink r:id="rId15">
        <w:r>
          <w:rPr>
            <w:color w:val="0000EE"/>
            <w:u w:val="single"/>
          </w:rPr>
          <w:t>[7]</w:t>
        </w:r>
      </w:hyperlink>
      <w:r>
        <w:t xml:space="preserve">- Paragraph 14: </w:t>
      </w:r>
      <w:hyperlink r:id="rId10">
        <w:r>
          <w:rPr>
            <w:color w:val="0000EE"/>
            <w:u w:val="single"/>
          </w:rPr>
          <w:t>[2]</w:t>
        </w:r>
      </w:hyperlink>
      <w:r>
        <w:t xml:space="preserve">, </w:t>
      </w:r>
      <w:hyperlink r:id="rId11">
        <w:r>
          <w:rPr>
            <w:color w:val="0000EE"/>
            <w:u w:val="single"/>
          </w:rPr>
          <w:t>[3]</w:t>
        </w:r>
      </w:hyperlink>
      <w:r>
        <w:t xml:space="preserve">- Paragraph 15: </w:t>
      </w:r>
      <w:hyperlink r:id="rId9">
        <w:r>
          <w:rPr>
            <w:color w:val="0000EE"/>
            <w:u w:val="single"/>
          </w:rPr>
          <w:t>[1]</w:t>
        </w:r>
      </w:hyperlink>
      <w:r>
        <w:t xml:space="preserve">, </w:t>
      </w:r>
      <w:hyperlink r:id="rId15">
        <w:r>
          <w:rPr>
            <w:color w:val="0000EE"/>
            <w:u w:val="single"/>
          </w:rPr>
          <w:t>[7]</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https://www.thetrevorproject.org/blog/an-actionable-anti-bullying-guide-for-lgbtq-youth-and-allies/</w:t>
        </w:r>
      </w:hyperlink>
      <w:r>
        <w:t xml:space="preserve"> - Please view link - unable to able to access data</w:t>
      </w:r>
      <w:r/>
    </w:p>
    <w:p>
      <w:pPr>
        <w:pStyle w:val="ListNumber"/>
        <w:spacing w:line="240" w:lineRule="auto"/>
        <w:ind w:left="720"/>
      </w:pPr>
      <w:r/>
      <w:hyperlink r:id="rId10">
        <w:r>
          <w:rPr>
            <w:color w:val="0000EE"/>
            <w:u w:val="single"/>
          </w:rPr>
          <w:t>https://www.cdc.gov/healthy-youth/lgbtq-youth/index.html</w:t>
        </w:r>
      </w:hyperlink>
      <w:r>
        <w:t xml:space="preserve"> - The Centers for Disease Control and Prevention (CDC) provides comprehensive information on supporting LGBTQ+ youth. It highlights that these young individuals are more likely than their heterosexual peers to experience violence at school and have lower levels of school connectedness. The CDC recommends practices such as professional development for school staff, allowing LGBTQ+ students equal access to student-led clubs, and creating inclusive school and district policies to improve the health, safety, and school connectedness for LGBTQ+ youth by addressing stigma and bias.</w:t>
      </w:r>
      <w:r/>
    </w:p>
    <w:p>
      <w:pPr>
        <w:pStyle w:val="ListNumber"/>
        <w:spacing w:line="240" w:lineRule="auto"/>
        <w:ind w:left="720"/>
      </w:pPr>
      <w:r/>
      <w:hyperlink r:id="rId11">
        <w:r>
          <w:rPr>
            <w:color w:val="0000EE"/>
            <w:u w:val="single"/>
          </w:rPr>
          <w:t>https://www.cdc.gov/healthy-youth/lgbtq-youth/health-disparities-among-lgbtq-youth.html</w:t>
        </w:r>
      </w:hyperlink>
      <w:r>
        <w:t xml:space="preserve"> - The CDC's 2023 Youth Risk Behavior Survey reveals substantial health disparities among LGBTQ+ students. Compared to their cisgender and heterosexual peers, LGBTQ+ students are more likely to have been bullied at school, used illicit drugs, seriously considered suicide, and felt sad or hopeless. These disparities underscore the need for targeted interventions to support the mental and physical health of LGBTQ+ youth.</w:t>
      </w:r>
      <w:r/>
    </w:p>
    <w:p>
      <w:pPr>
        <w:pStyle w:val="ListNumber"/>
        <w:spacing w:line="240" w:lineRule="auto"/>
        <w:ind w:left="720"/>
      </w:pPr>
      <w:r/>
      <w:hyperlink r:id="rId12">
        <w:r>
          <w:rPr>
            <w:color w:val="0000EE"/>
            <w:u w:val="single"/>
          </w:rPr>
          <w:t>https://www.hrc.org/resources/lgbtq-youth-report</w:t>
        </w:r>
      </w:hyperlink>
      <w:r>
        <w:t xml:space="preserve"> - The Human Rights Campaign's 2022 Youth Survey, which included nearly 13,000 LGBTQ+ youth from all 50 states and Washington, D.C., highlights persistent challenges faced by this group. The survey reveals that LGBTQ+ youth continue to encounter issues related to acceptance and support from their families, mental health, and safety in schools. The report provides insights into the well-being, experiences at home and school, and other aspects of daily life for LGBTQ+ youth, emphasizing the need for supportive environments.</w:t>
      </w:r>
      <w:r/>
    </w:p>
    <w:p>
      <w:pPr>
        <w:pStyle w:val="ListNumber"/>
        <w:spacing w:line="240" w:lineRule="auto"/>
        <w:ind w:left="720"/>
      </w:pPr>
      <w:r/>
      <w:hyperlink r:id="rId14">
        <w:r>
          <w:rPr>
            <w:color w:val="0000EE"/>
            <w:u w:val="single"/>
          </w:rPr>
          <w:t>https://www.sciencedirect.com/science/article/pii/S0883035524000077</w:t>
        </w:r>
      </w:hyperlink>
      <w:r>
        <w:t xml:space="preserve"> - A systematic review published in the International Journal of Educational Research examines successful strategies for preventing violence against LGBTIQ+ youth. The study concludes that interventions focusing on upstander training and community-based actions contribute to reducing bullying and gender-based violence, thereby mitigating adverse effects on LGBTIQ+ youth's well-being. Empowering upstanders through solidarity, friendship, and empathy promotes successful bullying prevention.</w:t>
      </w:r>
      <w:r/>
    </w:p>
    <w:p>
      <w:pPr>
        <w:pStyle w:val="ListNumber"/>
        <w:spacing w:line="240" w:lineRule="auto"/>
        <w:ind w:left="720"/>
      </w:pPr>
      <w:r/>
      <w:hyperlink r:id="rId13">
        <w:r>
          <w:rPr>
            <w:color w:val="0000EE"/>
            <w:u w:val="single"/>
          </w:rPr>
          <w:t>https://www.chconline.org/resourcelibrary/lgbtq-youth-and-bullying/</w:t>
        </w:r>
      </w:hyperlink>
      <w:r>
        <w:t xml:space="preserve"> - The Children's Health Council discusses the heightened risks LGBTQ+ youth face regarding bullying, including increased chances of depression, suicidal ideation, substance misuse, risky sexual behavior, and academic challenges. The article emphasizes the importance of creating a safe environment for LGBTQ+ youth, noting that while some strategies are specifically for LGBTQ+ youth, most, if adopted by schools and communities, make environments safer for all students.</w:t>
      </w:r>
      <w:r/>
    </w:p>
    <w:p>
      <w:pPr>
        <w:pStyle w:val="ListNumber"/>
        <w:spacing w:line="240" w:lineRule="auto"/>
        <w:ind w:left="720"/>
      </w:pPr>
      <w:r/>
      <w:hyperlink r:id="rId15">
        <w:r>
          <w:rPr>
            <w:color w:val="0000EE"/>
            <w:u w:val="single"/>
          </w:rPr>
          <w:t>https://www.axios.com/2025/03/05/lgbtq-youth-hurdles-mental-health-trevor-project</w:t>
        </w:r>
      </w:hyperlink>
      <w:r>
        <w:t xml:space="preserve"> - A report from The Trevor Project highlights that LGBTQ+ youth in the U.S. continue to face significant mental health challenges and barriers to accessing care. Despite increasing LGBTQ+ representation among younger generations, young people still experience high rates of discrimination, bullying, and the effects of restrictive policies. These hostile environments contribute to elevated suicide risks and victimization. Major obstacles to mental health care include cost, fear of stigma, and discomfort with sharing personal issues. Organizations like SMYAL and Kaleidoscope Youth Center are working to address these issues by providing free therapy, safe spaces, and housing support.</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www.thetrevorproject.org/blog/an-actionable-anti-bullying-guide-for-lgbtq-youth-and-allies/" TargetMode="External"/><Relationship Id="rId10" Type="http://schemas.openxmlformats.org/officeDocument/2006/relationships/hyperlink" Target="https://www.cdc.gov/healthy-youth/lgbtq-youth/index.html" TargetMode="External"/><Relationship Id="rId11" Type="http://schemas.openxmlformats.org/officeDocument/2006/relationships/hyperlink" Target="https://www.cdc.gov/healthy-youth/lgbtq-youth/health-disparities-among-lgbtq-youth.html" TargetMode="External"/><Relationship Id="rId12" Type="http://schemas.openxmlformats.org/officeDocument/2006/relationships/hyperlink" Target="https://www.hrc.org/resources/lgbtq-youth-report" TargetMode="External"/><Relationship Id="rId13" Type="http://schemas.openxmlformats.org/officeDocument/2006/relationships/hyperlink" Target="https://www.chconline.org/resourcelibrary/lgbtq-youth-and-bullying/" TargetMode="External"/><Relationship Id="rId14" Type="http://schemas.openxmlformats.org/officeDocument/2006/relationships/hyperlink" Target="https://www.sciencedirect.com/science/article/pii/S0883035524000077" TargetMode="External"/><Relationship Id="rId15" Type="http://schemas.openxmlformats.org/officeDocument/2006/relationships/hyperlink" Target="https://www.axios.com/2025/03/05/lgbtq-youth-hurdles-mental-health-trevor-project"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