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Scotland Conversion Therapy Ban Raises Questions Over Consultation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Scottish ministers face renewed scrutiny over plans to ban conversion therapy, after Christian campaigners questioned whether consultation has been broad enough. The dispute centres on who gets heard, whether Westminster should take responsibility, and how public money has been used to support people reporting conversion practices in Scotland.</w:t>
      </w:r>
      <w:r/>
    </w:p>
    <w:p>
      <w:pPr>
        <w:pStyle w:val="Heading2"/>
      </w:pPr>
      <w:r>
        <w:t>Essential Takeaways</w:t>
      </w:r>
      <w:r/>
      <w:r/>
    </w:p>
    <w:p>
      <w:pPr>
        <w:pStyle w:val="ListBullet"/>
        <w:spacing w:line="240" w:lineRule="auto"/>
        <w:ind w:left="720"/>
      </w:pPr>
      <w:r/>
      <w:r>
        <w:rPr>
          <w:b/>
        </w:rPr>
        <w:t>Christians want a fuller hearing:</w:t>
      </w:r>
      <w:r>
        <w:t xml:space="preserve"> The Christian Institute says repeated meeting requests received limited responses.</w:t>
      </w:r>
      <w:r/>
    </w:p>
    <w:p>
      <w:pPr>
        <w:pStyle w:val="ListBullet"/>
        <w:spacing w:line="240" w:lineRule="auto"/>
        <w:ind w:left="720"/>
      </w:pPr>
      <w:r/>
      <w:r>
        <w:rPr>
          <w:b/>
        </w:rPr>
        <w:t>Westminster may take the lead:</w:t>
      </w:r>
      <w:r>
        <w:t xml:space="preserve"> Scotland has indicated it could support UK-wide legislation rather than revive its own shelved plans.</w:t>
      </w:r>
      <w:r/>
    </w:p>
    <w:p>
      <w:pPr>
        <w:pStyle w:val="ListBullet"/>
        <w:spacing w:line="240" w:lineRule="auto"/>
        <w:ind w:left="720"/>
      </w:pPr>
      <w:r/>
      <w:r>
        <w:rPr>
          <w:b/>
        </w:rPr>
        <w:t>Judicial review is part of the argument:</w:t>
      </w:r>
      <w:r>
        <w:t xml:space="preserve"> Critics say responsibility may be moving north to Westminster to reduce political and legal exposure.</w:t>
      </w:r>
      <w:r/>
    </w:p>
    <w:p>
      <w:pPr>
        <w:pStyle w:val="ListBullet"/>
        <w:spacing w:line="240" w:lineRule="auto"/>
        <w:ind w:left="720"/>
      </w:pPr>
      <w:r/>
      <w:r>
        <w:rPr>
          <w:b/>
        </w:rPr>
        <w:t>Helpline spending is under scrutiny:</w:t>
      </w:r>
      <w:r>
        <w:t xml:space="preserve"> Government records show public funding for a service whose reported call figures were very low.</w:t>
      </w:r>
      <w:r/>
    </w:p>
    <w:p>
      <w:pPr>
        <w:pStyle w:val="ListBullet"/>
        <w:spacing w:line="240" w:lineRule="auto"/>
        <w:ind w:left="720"/>
      </w:pPr>
      <w:r/>
      <w:r>
        <w:rPr>
          <w:b/>
        </w:rPr>
        <w:t>The policy remains sensitive:</w:t>
      </w:r>
      <w:r>
        <w:t xml:space="preserve"> Supporters focus on protection from harm, while critics fear legitimate prayer, counselling and pastoral care could be caught.</w:t>
      </w:r>
      <w:r/>
      <w:r/>
    </w:p>
    <w:p>
      <w:pPr>
        <w:pStyle w:val="Heading2"/>
      </w:pPr>
      <w:r>
        <w:t>Consultation is at the heart of the row</w:t>
      </w:r>
      <w:r/>
    </w:p>
    <w:p>
      <w:r/>
      <w:r>
        <w:t>The sharpest criticism isn't about whether people should be protected from coercive or abusive practices. It's about whether Scotland's proposed conversion therapy ban is being shaped through a sufficiently broad conversation.</w:t>
      </w:r>
      <w:r/>
    </w:p>
    <w:p>
      <w:r/>
      <w:r>
        <w:t>The Christian Institute says Scottish Equalities Minister Simita Kumar told a Holyrood committee that officials regularly meet LGBTQI stakeholders. Joanna Timm, a spokeswoman for the institute's Let Us Pray campaign, has argued that Christian groups haven't received comparable access, according to Christian Today.</w:t>
      </w:r>
      <w:r/>
    </w:p>
    <w:p>
      <w:r/>
      <w:r>
        <w:t>That imbalance matters because the legislation could affect churches, counsellors and faith-based organisations as well as specialist support services. A policy can have a worthy aim and still need careful safeguards, especially when words such as "conversion" and "harm" require precise legal definitions.</w:t>
      </w:r>
      <w:r/>
    </w:p>
    <w:p>
      <w:pPr>
        <w:pStyle w:val="Heading2"/>
      </w:pPr>
      <w:r>
        <w:t>Why Westminster is now in the frame</w:t>
      </w:r>
      <w:r/>
    </w:p>
    <w:p>
      <w:r/>
      <w:r>
        <w:t>Scotland previously developed its own proposals, but those plans were later put aside. The Scottish Government has instead indicated that it wants to be included in legislation brought forward from Westminster, a move that changes both the political route and the accountability debate.</w:t>
      </w:r>
      <w:r/>
    </w:p>
    <w:p>
      <w:r/>
      <w:r>
        <w:t>Government material describes the wider policy as an effort to end practices intended to change or suppress a person's sexual orientation or gender identity. The stated objective is protection from damaging conduct, rather than interference with ordinary religious belief or voluntary support, according to Scottish Government policy documents.</w:t>
      </w:r>
      <w:r/>
    </w:p>
    <w:p>
      <w:r/>
      <w:r>
        <w:t>Critics, however, see the constitutional route as significant. Out For Scotland has said ministers suggested Westminster legislation could reduce the likelihood of judicial review and take some political pressure away from Holyrood. That claim has added an extra layer to an already charged discussion: who writes the rules, who answers for them, and who can challenge them?</w:t>
      </w:r>
      <w:r/>
    </w:p>
    <w:p>
      <w:pPr>
        <w:pStyle w:val="Heading2"/>
      </w:pPr>
      <w:r>
        <w:t>A promising policy still needs precise boundaries</w:t>
      </w:r>
      <w:r/>
    </w:p>
    <w:p>
      <w:r/>
      <w:r>
        <w:t>The Scottish Government's consultation response sets out the case for action while acknowledging the complexity of distinguishing abusive practices from lawful conversations about faith, identity and personal wellbeing. That distinction is where much of the public debate is likely to settle.</w:t>
      </w:r>
      <w:r/>
    </w:p>
    <w:p>
      <w:r/>
      <w:r>
        <w:t>For churches and families, the practical question is simple enough: could a ban unintentionally criminalise prayer, preaching or a person's decision to seek advice? For campaigners supporting the ban, the concern runs in the opposite direction: could broad exemptions leave people exposed to pressure disguised as counselling?</w:t>
      </w:r>
      <w:r/>
    </w:p>
    <w:p>
      <w:r/>
      <w:r>
        <w:t>Clear wording will be crucial. The safest framework should focus on coercion, threats, deception and serious psychological or physical harm, while making room for people to discuss beliefs and make voluntary choices. Nobody wants a law that looks reassuring on paper but creates confusion in a counselling room.</w:t>
      </w:r>
      <w:r/>
    </w:p>
    <w:p>
      <w:pPr>
        <w:pStyle w:val="Heading2"/>
      </w:pPr>
      <w:r>
        <w:t>The helpline figures are adding pressure</w:t>
      </w:r>
      <w:r/>
    </w:p>
    <w:p>
      <w:r/>
      <w:r>
        <w:t>Separate criticism has focused on a publicly funded helpline for people affected by conversion practices. Freedom of information records published by the Scottish Government provide the official paper trail behind the spending and service arrangements.</w:t>
      </w:r>
      <w:r/>
    </w:p>
    <w:p>
      <w:r/>
      <w:r>
        <w:t>The Christian Institute says almost £72,000 was paid to LGBT Health and Wellbeing to operate the helpline. It also highlighted a very small number of calls reported in the final quarter of 2025, with four calls cited in the related campaign material. The group argues that this raises questions about value for money, although a low call count alone can't show whether a service is unnecessary.</w:t>
      </w:r>
      <w:r/>
    </w:p>
    <w:p>
      <w:r/>
      <w:r>
        <w:t>Helplines can be valuable even when demand is uneven. They may offer specialist support, reassurance and a discreet first step for people who aren't ready to approach public services. Still, taxpayers are entitled to ask how contracts are assessed, how outcomes are measured and whether funding matches actual use.</w:t>
      </w:r>
      <w:r/>
    </w:p>
    <w:p>
      <w:pPr>
        <w:pStyle w:val="Heading2"/>
      </w:pPr>
      <w:r>
        <w:t>What happens next?</w:t>
      </w:r>
      <w:r/>
    </w:p>
    <w:p>
      <w:r/>
      <w:r>
        <w:t>The Scottish Government's published policy work shows that conversion practices remain an active issue, even though the route to legislation has changed. The next stage will depend on how Westminster handles the proposal and whether ministers address concerns about consultation before the legal text is finalised.</w:t>
      </w:r>
      <w:r/>
    </w:p>
    <w:p>
      <w:r/>
      <w:r>
        <w:t>For readers trying to make sense of the dispute, the useful test is not which side produces the loudest headline. It's whether the final rules protect people from coercion while preserving lawful religious expression, voluntary counselling and open discussion. That balance won't be easy, but it will determine whether the ban earns public confidence.</w:t>
      </w:r>
      <w:r/>
    </w:p>
    <w:p>
      <w:r/>
      <w:r>
        <w:t>The argument now needs less political theatre and more transparent engagement.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9">
        <w:r>
          <w:rPr>
            <w:color w:val="0000EE"/>
            <w:u w:val="single"/>
          </w:rPr>
          <w:t>[1]</w:t>
        </w:r>
      </w:hyperlink>
      <w:r>
        <w:t xml:space="preserve">, </w:t>
      </w:r>
      <w:hyperlink r:id="rId12">
        <w:r>
          <w:rPr>
            <w:color w:val="0000EE"/>
            <w:u w:val="single"/>
          </w:rPr>
          <w:t>[7]</w:t>
        </w:r>
      </w:hyperlink>
      <w:r>
        <w:t xml:space="preserve">- Paragraph 3: </w:t>
      </w:r>
      <w:hyperlink r:id="rId11">
        <w:r>
          <w:rPr>
            <w:color w:val="0000EE"/>
            <w:u w:val="single"/>
          </w:rPr>
          <w:t>[5]</w:t>
        </w:r>
      </w:hyperlink>
      <w:r>
        <w:t xml:space="preserve">, </w:t>
      </w:r>
      <w:hyperlink r:id="rId12">
        <w:r>
          <w:rPr>
            <w:color w:val="0000EE"/>
            <w:u w:val="single"/>
          </w:rPr>
          <w:t>[7]</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Paragraph 5: </w:t>
      </w:r>
      <w:hyperlink r:id="rId9">
        <w:r>
          <w:rPr>
            <w:color w:val="0000EE"/>
            <w:u w:val="single"/>
          </w:rPr>
          <w:t>[1]</w:t>
        </w:r>
      </w:hyperlink>
      <w:r>
        <w:t xml:space="preserve">, </w:t>
      </w:r>
      <w:hyperlink r:id="rId10">
        <w:r>
          <w:rPr>
            <w:color w:val="0000EE"/>
            <w:u w:val="single"/>
          </w:rPr>
          <w:t>[4]</w:t>
        </w:r>
      </w:hyperlink>
      <w:r>
        <w:t xml:space="preserve">- Paragraph 6: </w:t>
      </w:r>
      <w:hyperlink r:id="rId11">
        <w:r>
          <w:rPr>
            <w:color w:val="0000EE"/>
            <w:u w:val="single"/>
          </w:rPr>
          <w:t>[5]</w:t>
        </w:r>
      </w:hyperlink>
      <w:r>
        <w:t xml:space="preserve">, </w:t>
      </w:r>
      <w:hyperlink r:id="rId12">
        <w:r>
          <w:rPr>
            <w:color w:val="0000EE"/>
            <w:u w:val="single"/>
          </w:rPr>
          <w:t>[7]</w:t>
        </w:r>
      </w:hyperlink>
      <w:r>
        <w:t xml:space="preserve">- Paragraph 7: </w:t>
      </w:r>
      <w:hyperlink r:id="rId10">
        <w:r>
          <w:rPr>
            <w:color w:val="0000EE"/>
            <w:u w:val="single"/>
          </w:rPr>
          <w:t>[4]</w:t>
        </w:r>
      </w:hyperlink>
      <w:r>
        <w:t xml:space="preserve">, </w:t>
      </w:r>
      <w:hyperlink r:id="rId11">
        <w:r>
          <w:rPr>
            <w:color w:val="0000EE"/>
            <w:u w:val="single"/>
          </w:rPr>
          <w:t>[5]</w:t>
        </w:r>
      </w:hyperlink>
      <w:r>
        <w:t xml:space="preserve">- Paragraph 8: </w:t>
      </w:r>
      <w:hyperlink r:id="rId11">
        <w:r>
          <w:rPr>
            <w:color w:val="0000EE"/>
            <w:u w:val="single"/>
          </w:rPr>
          <w:t>[5]</w:t>
        </w:r>
      </w:hyperlink>
      <w:r>
        <w:t xml:space="preserve">, </w:t>
      </w:r>
      <w:hyperlink r:id="rId12">
        <w:r>
          <w:rPr>
            <w:color w:val="0000EE"/>
            <w:u w:val="single"/>
          </w:rPr>
          <w:t>[7]</w:t>
        </w:r>
      </w:hyperlink>
      <w:r>
        <w:t xml:space="preserve">- Paragraph 9: </w:t>
      </w:r>
      <w:hyperlink r:id="rId13">
        <w:r>
          <w:rPr>
            <w:color w:val="0000EE"/>
            <w:u w:val="single"/>
          </w:rPr>
          <w:t>[3]</w:t>
        </w:r>
      </w:hyperlink>
      <w:r>
        <w:t xml:space="preserve">, </w:t>
      </w:r>
      <w:hyperlink r:id="rId14">
        <w:r>
          <w:rPr>
            <w:color w:val="0000EE"/>
            <w:u w:val="single"/>
          </w:rPr>
          <w:t>[6]</w:t>
        </w:r>
      </w:hyperlink>
      <w:r>
        <w:t xml:space="preserve">- Paragraph 10: </w:t>
      </w:r>
      <w:hyperlink r:id="rId15">
        <w:r>
          <w:rPr>
            <w:color w:val="0000EE"/>
            <w:u w:val="single"/>
          </w:rPr>
          <w:t>[2]</w:t>
        </w:r>
      </w:hyperlink>
      <w:r>
        <w:t xml:space="preserve">, </w:t>
      </w:r>
      <w:hyperlink r:id="rId13">
        <w:r>
          <w:rPr>
            <w:color w:val="0000EE"/>
            <w:u w:val="single"/>
          </w:rPr>
          <w:t>[3]</w:t>
        </w:r>
      </w:hyperlink>
      <w:r>
        <w:t xml:space="preserve">- Paragraph 11: </w:t>
      </w:r>
      <w:hyperlink r:id="rId13">
        <w:r>
          <w:rPr>
            <w:color w:val="0000EE"/>
            <w:u w:val="single"/>
          </w:rPr>
          <w:t>[3]</w:t>
        </w:r>
      </w:hyperlink>
      <w:r>
        <w:t xml:space="preserve">, </w:t>
      </w:r>
      <w:hyperlink r:id="rId14">
        <w:r>
          <w:rPr>
            <w:color w:val="0000EE"/>
            <w:u w:val="single"/>
          </w:rPr>
          <w:t>[6]</w:t>
        </w:r>
      </w:hyperlink>
      <w:r>
        <w:t xml:space="preserve">- Paragraph 12: </w:t>
      </w:r>
      <w:hyperlink r:id="rId10">
        <w:r>
          <w:rPr>
            <w:color w:val="0000EE"/>
            <w:u w:val="single"/>
          </w:rPr>
          <w:t>[4]</w:t>
        </w:r>
      </w:hyperlink>
      <w:r>
        <w:t xml:space="preserve">, </w:t>
      </w:r>
      <w:hyperlink r:id="rId11">
        <w:r>
          <w:rPr>
            <w:color w:val="0000EE"/>
            <w:u w:val="single"/>
          </w:rPr>
          <w:t>[5]</w:t>
        </w:r>
      </w:hyperlink>
      <w:r>
        <w:t xml:space="preserve">- Paragraph 13: </w:t>
      </w:r>
      <w:hyperlink r:id="rId11">
        <w:r>
          <w:rPr>
            <w:color w:val="0000EE"/>
            <w:u w:val="single"/>
          </w:rPr>
          <w:t>[5]</w:t>
        </w:r>
      </w:hyperlink>
      <w:r>
        <w:t xml:space="preserve">, </w:t>
      </w:r>
      <w:hyperlink r:id="rId12">
        <w:r>
          <w:rPr>
            <w:color w:val="0000EE"/>
            <w:u w:val="single"/>
          </w:rPr>
          <w:t>[7]</w:t>
        </w:r>
      </w:hyperlink>
      <w:r>
        <w:t xml:space="preserve">- Paragraph 14: </w:t>
      </w:r>
      <w:hyperlink r:id="rId10">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https://www.christiantoday.com/news/christians-take-issue-with-one-sided-engagement-over-conversion-therapy-ban</w:t>
        </w:r>
      </w:hyperlink>
      <w:r>
        <w:t xml:space="preserve"> - Please view link - unable to able to access data</w:t>
      </w:r>
      <w:r/>
    </w:p>
    <w:p>
      <w:pPr>
        <w:pStyle w:val="ListNumber"/>
        <w:spacing w:line="240" w:lineRule="auto"/>
        <w:ind w:left="720"/>
      </w:pPr>
      <w:r/>
      <w:hyperlink r:id="rId15">
        <w:r>
          <w:rPr>
            <w:color w:val="0000EE"/>
            <w:u w:val="single"/>
          </w:rPr>
          <w:t>https://www.christian.org.uk/press_release/scottish-government-spent-72000-on-conversion-therapy-helpline-receiving-just-four-calls-in-three-months/</w:t>
        </w:r>
      </w:hyperlink>
      <w:r>
        <w:t xml:space="preserve"> - The Christian Institute reports that the Scottish Government allocated £72,000 to LGBT Health and Wellbeing for a 'conversion therapy' helpline, which received only four calls between October and December 2025. The article highlights concerns over the effectiveness and cost-efficiency of the helpline, questioning the allocation of taxpayer funds for a service with minimal engagement. The piece also references the charity's other initiatives, such as the 'Queer Milk' service, which has faced criticism for its unconventional approach to LGBTQ+ support.</w:t>
      </w:r>
      <w:r/>
    </w:p>
    <w:p>
      <w:pPr>
        <w:pStyle w:val="ListNumber"/>
        <w:spacing w:line="240" w:lineRule="auto"/>
        <w:ind w:left="720"/>
      </w:pPr>
      <w:r/>
      <w:hyperlink r:id="rId13">
        <w:r>
          <w:rPr>
            <w:color w:val="0000EE"/>
            <w:u w:val="single"/>
          </w:rPr>
          <w:t>https://www.gov.scot/publications/foi-202600513335/</w:t>
        </w:r>
      </w:hyperlink>
      <w:r>
        <w:t xml:space="preserve"> - This Freedom of Information release from the Scottish Government details the funding provided to LGBT Health and Wellbeing for its conversion practices support services. It outlines the financial contributions over multiple years, including £75,525 in 2023, £33,400 in 2024, £71,990 in 2024, £71,996 in 2025, and £50,000 in 2026. The document also notes that four contacts related to conversion practices were received by the helpline during the period October–December 2025, though it does not specify the number of unique individuals.</w:t>
      </w:r>
      <w:r/>
    </w:p>
    <w:p>
      <w:pPr>
        <w:pStyle w:val="ListNumber"/>
        <w:spacing w:line="240" w:lineRule="auto"/>
        <w:ind w:left="720"/>
      </w:pPr>
      <w:r/>
      <w:hyperlink r:id="rId10">
        <w:r>
          <w:rPr>
            <w:color w:val="0000EE"/>
            <w:u w:val="single"/>
          </w:rPr>
          <w:t>https://www.gov.scot/policies/lgbti/ending-conversion-practices/</w:t>
        </w:r>
      </w:hyperlink>
      <w:r>
        <w:t xml:space="preserve"> - The Scottish Government's policy page outlines its commitment to ending harmful conversion practices in Scotland. It details legislative actions, support measures for victims and survivors, educational initiatives, and awareness-raising efforts. The page emphasizes the government's dedication to equality and human rights, particularly for the LGBTQI+ community, and provides information on how individuals can access support services related to conversion practices.</w:t>
      </w:r>
      <w:r/>
    </w:p>
    <w:p>
      <w:pPr>
        <w:pStyle w:val="ListNumber"/>
        <w:spacing w:line="240" w:lineRule="auto"/>
        <w:ind w:left="720"/>
      </w:pPr>
      <w:r/>
      <w:hyperlink r:id="rId11">
        <w:r>
          <w:rPr>
            <w:color w:val="0000EE"/>
            <w:u w:val="single"/>
          </w:rPr>
          <w:t>https://www.gov.scot/publications/scottish-government-response-consultation-analysis-ending-conversion-practices-scotland/pages/2/</w:t>
        </w:r>
      </w:hyperlink>
      <w:r>
        <w:t xml:space="preserve"> - This document presents the Scottish Government's response to the consultation analysis on ending conversion practices in Scotland. It addresses issues raised during the consultation and outlines the government's current actions. The response includes information on support services for victims and survivors of conversion practices, such as the helpline operated by LGBT Health and Wellbeing, and provides contact details for individuals seeking assistance.</w:t>
      </w:r>
      <w:r/>
    </w:p>
    <w:p>
      <w:pPr>
        <w:pStyle w:val="ListNumber"/>
        <w:spacing w:line="240" w:lineRule="auto"/>
        <w:ind w:left="720"/>
      </w:pPr>
      <w:r/>
      <w:hyperlink r:id="rId14">
        <w:r>
          <w:rPr>
            <w:color w:val="0000EE"/>
            <w:u w:val="single"/>
          </w:rPr>
          <w:t>https://www.gov.scot/publications/foi-202300376802/</w:t>
        </w:r>
      </w:hyperlink>
      <w:r>
        <w:t xml:space="preserve"> - This Freedom of Information release from the Scottish Government provides details on the funding allocated to LGBT Health and Wellbeing for the delivery of support services for survivors and victims of conversion practices in Scotland. It specifies the grant amount of £75,525.00 for the period 1 April 2022 to 31 March 2023 and includes the grant offer letter provided to the charity regarding the Conversion Practices helpline.</w:t>
      </w:r>
      <w:r/>
    </w:p>
    <w:p>
      <w:pPr>
        <w:pStyle w:val="ListNumber"/>
        <w:spacing w:line="240" w:lineRule="auto"/>
        <w:ind w:left="720"/>
      </w:pPr>
      <w:r/>
      <w:hyperlink r:id="rId12">
        <w:r>
          <w:rPr>
            <w:color w:val="0000EE"/>
            <w:u w:val="single"/>
          </w:rPr>
          <w:t>https://www.gov.scot/news/ending-conversion-practices-1/</w:t>
        </w:r>
      </w:hyperlink>
      <w:r>
        <w:t xml:space="preserve"> - The Scottish Government's news release discusses the launch of a consultation on ending conversion practices in Scotland. It highlights the government's commitment to protecting individuals from harmful practices that seek to change or suppress a person's sexual orientation or gender identity. The release provides information on how individuals can participate in the consultation and access support services related to conversion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ristiantoday.com/news/christians-take-issue-with-one-sided-engagement-over-conversion-therapy-ban" TargetMode="External"/><Relationship Id="rId10" Type="http://schemas.openxmlformats.org/officeDocument/2006/relationships/hyperlink" Target="https://www.gov.scot/policies/lgbti/ending-conversion-practices/" TargetMode="External"/><Relationship Id="rId11" Type="http://schemas.openxmlformats.org/officeDocument/2006/relationships/hyperlink" Target="https://www.gov.scot/publications/scottish-government-response-consultation-analysis-ending-conversion-practices-scotland/pages/2/" TargetMode="External"/><Relationship Id="rId12" Type="http://schemas.openxmlformats.org/officeDocument/2006/relationships/hyperlink" Target="https://www.gov.scot/news/ending-conversion-practices-1/" TargetMode="External"/><Relationship Id="rId13" Type="http://schemas.openxmlformats.org/officeDocument/2006/relationships/hyperlink" Target="https://www.gov.scot/publications/foi-202600513335/" TargetMode="External"/><Relationship Id="rId14" Type="http://schemas.openxmlformats.org/officeDocument/2006/relationships/hyperlink" Target="https://www.gov.scot/publications/foi-202300376802/" TargetMode="External"/><Relationship Id="rId15" Type="http://schemas.openxmlformats.org/officeDocument/2006/relationships/hyperlink" Target="https://www.christian.org.uk/press_release/scottish-government-spent-72000-on-conversion-therapy-helpline-receiving-just-four-calls-in-three-month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