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NYC plans $8.9m for gender-affirming care for trans youth</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New York City is preparing an $8.9 million funding package for healthcare nonprofits supporting trans young people, after several major hospitals closed youth programmes. The proposed three-year deal could help restore access to puberty blockers and hormone replacement therapy, while giving families a clearer route to gender-affirming care from February 2027.</w:t>
      </w:r>
      <w:r/>
    </w:p>
    <w:p>
      <w:pPr>
        <w:pStyle w:val="Heading2"/>
      </w:pPr>
      <w:r>
        <w:t>Essential Takeaways</w:t>
      </w:r>
      <w:r/>
      <w:r/>
    </w:p>
    <w:p>
      <w:pPr>
        <w:pStyle w:val="ListBullet"/>
        <w:spacing w:line="240" w:lineRule="auto"/>
        <w:ind w:left="720"/>
      </w:pPr>
      <w:r/>
      <w:r>
        <w:rPr>
          <w:b/>
        </w:rPr>
        <w:t>Proposed investment:</w:t>
      </w:r>
      <w:r>
        <w:t xml:space="preserve"> NYC intends to direct $8.9 million to nonprofit healthcare providers.</w:t>
      </w:r>
      <w:r/>
    </w:p>
    <w:p>
      <w:pPr>
        <w:pStyle w:val="ListBullet"/>
        <w:spacing w:line="240" w:lineRule="auto"/>
        <w:ind w:left="720"/>
      </w:pPr>
      <w:r/>
      <w:r>
        <w:rPr>
          <w:b/>
        </w:rPr>
        <w:t>Care covered:</w:t>
      </w:r>
      <w:r>
        <w:t xml:space="preserve"> The plan includes puberty blockers and hormone replacement therapy for eligible patients under 18.</w:t>
      </w:r>
      <w:r/>
    </w:p>
    <w:p>
      <w:pPr>
        <w:pStyle w:val="ListBullet"/>
        <w:spacing w:line="240" w:lineRule="auto"/>
        <w:ind w:left="720"/>
      </w:pPr>
      <w:r/>
      <w:r>
        <w:rPr>
          <w:b/>
        </w:rPr>
        <w:t>Potential providers:</w:t>
      </w:r>
      <w:r>
        <w:t xml:space="preserve"> Callen-Lorde Community Health Center and NOPI are named in the proposed arrangement.</w:t>
      </w:r>
      <w:r/>
    </w:p>
    <w:p>
      <w:pPr>
        <w:pStyle w:val="ListBullet"/>
        <w:spacing w:line="240" w:lineRule="auto"/>
        <w:ind w:left="720"/>
      </w:pPr>
      <w:r/>
      <w:r>
        <w:rPr>
          <w:b/>
        </w:rPr>
        <w:t>Expected start date:</w:t>
      </w:r>
      <w:r>
        <w:t xml:space="preserve"> The three-year contract is scheduled to begin on 1 February 2027.</w:t>
      </w:r>
      <w:r/>
    </w:p>
    <w:p>
      <w:pPr>
        <w:pStyle w:val="ListBullet"/>
        <w:spacing w:line="240" w:lineRule="auto"/>
        <w:ind w:left="720"/>
      </w:pPr>
      <w:r/>
      <w:r>
        <w:rPr>
          <w:b/>
        </w:rPr>
        <w:t>Why it matters:</w:t>
      </w:r>
      <w:r>
        <w:t xml:space="preserve"> The funding comes as several hospital-based trans youth services have shut, leaving families searching for alternatives.</w:t>
      </w:r>
      <w:r/>
      <w:r/>
    </w:p>
    <w:p>
      <w:pPr>
        <w:pStyle w:val="Heading2"/>
      </w:pPr>
      <w:r>
        <w:t>New York moves to rebuild trans youth healthcare access</w:t>
      </w:r>
      <w:r/>
    </w:p>
    <w:p>
      <w:r/>
      <w:r>
        <w:t>For families seeking gender-affirming care in New York, the proposed funding could bring welcome relief after a difficult year. The city’s Department of Health and Mental Hygiene wants to support community-based providers delivering care to patients under 18, including treatments that have become increasingly difficult to access through hospital systems.</w:t>
      </w:r>
      <w:r/>
    </w:p>
    <w:p>
      <w:r/>
      <w:r>
        <w:t>According to New York City government information, the city has been expanding wider support for trans New Yorkers, signalling a more active public-health role rather than leaving services entirely to individual hospitals. That matters because a clinic’s doors can close quickly, but rebuilding a trusted care pathway takes much longer.</w:t>
      </w:r>
      <w:r/>
    </w:p>
    <w:p>
      <w:r/>
      <w:r>
        <w:t>The proposed arrangement would involve a negotiated acquisition with Callen-Lorde Community Health Center and the Nonprofit Organization for Philanthropic Initiatives. Callen-Lorde is already well known for LGBTQ+ inclusive healthcare, making it a natural name in a plan designed to reach patients through specialist and community settings.</w:t>
      </w:r>
      <w:r/>
    </w:p>
    <w:p>
      <w:pPr>
        <w:pStyle w:val="Heading2"/>
      </w:pPr>
      <w:r>
        <w:t>Why are hospitals stepping back from care for minors?</w:t>
      </w:r>
      <w:r/>
    </w:p>
    <w:p>
      <w:r/>
      <w:r>
        <w:t>The city’s intervention follows the closure of trans youth programmes at Mount Sinai, NYU Langone Health and New York Presbyterian. For families, the impact isn’t simply administrative. It can mean new referrals, longer journeys, disrupted relationships with clinicians and a lot of uncertainty at an already emotional time.</w:t>
      </w:r>
      <w:r/>
    </w:p>
    <w:p>
      <w:r/>
      <w:r>
        <w:t>The wider political climate has added to that pressure. The Trump administration has challenged gender-affirming care for minors, including through threats linked to federal funding and investigations involving hospitals. The legal picture has shifted repeatedly, leaving healthcare organisations weighing potential consequences alongside their clinical responsibilities.</w:t>
      </w:r>
      <w:r/>
    </w:p>
    <w:p>
      <w:r/>
      <w:r>
        <w:t>Reporting from Them has documented how trans young people and their families are navigating a fast-changing care landscape across the United States. In that context, a city-backed programme offers something hospitals alone may struggle to provide: a more stable local safety net.</w:t>
      </w:r>
      <w:r/>
    </w:p>
    <w:p>
      <w:pPr>
        <w:pStyle w:val="Heading2"/>
      </w:pPr>
      <w:r>
        <w:t>What the $8.9 million plan could cover</w:t>
      </w:r>
      <w:r/>
    </w:p>
    <w:p>
      <w:r/>
      <w:r>
        <w:t>The city record says the proposed vendors would provide puberty blockers and hormone replacement therapy to trans patients under 18, subject to the relevant clinical and eligibility requirements. The contract is expected to run for three years, beginning on 1 February 2027.</w:t>
      </w:r>
      <w:r/>
    </w:p>
    <w:p>
      <w:r/>
      <w:r>
        <w:t>Organisations that believe they qualify can submit an expression of interest by email by 2pm Eastern Time on 16 October, according to the published notice. That process is an early step, so families shouldn’t read the proposal as an immediate replacement for every service that has closed.</w:t>
      </w:r>
      <w:r/>
    </w:p>
    <w:p>
      <w:r/>
      <w:r>
        <w:t>Still, the structure is significant. Public funding can help community clinics employ specialist staff, coordinate referrals and offer continuity, rather than leaving families to piece together care from a patchwork of providers. For a young person, that quieter, steadier experience may be just as important as the headline funding figure.</w:t>
      </w:r>
      <w:r/>
    </w:p>
    <w:p>
      <w:pPr>
        <w:pStyle w:val="Heading2"/>
      </w:pPr>
      <w:r>
        <w:t>Community clinics are becoming more important</w:t>
      </w:r>
      <w:r/>
    </w:p>
    <w:p>
      <w:r/>
      <w:r>
        <w:t>As hospital programmes retreat, LGBTQ+ health centres and nonprofit providers are taking on a larger role in the care network. New York City’s recent announcements about support for trans residents suggest that officials are trying to build services beyond the traditional hospital model.</w:t>
      </w:r>
      <w:r/>
    </w:p>
    <w:p>
      <w:r/>
      <w:r>
        <w:t>That shift could make care more accessible for some patients, particularly those who feel more comfortable in a dedicated LGBTQ+ healthcare environment. It could also create new practical challenges, including appointment capacity, travel time and coordination between primary care and specialist services.</w:t>
      </w:r>
      <w:r/>
    </w:p>
    <w:p>
      <w:r/>
      <w:r>
        <w:t>Earlier city initiatives have also used emergency funding to support vulnerable communities, showing how municipal budgets can respond when national policy becomes unpredictable. The lesson is fairly plain: money doesn’t solve every problem, but it can keep a route open when other doors have closed.</w:t>
      </w:r>
      <w:r/>
    </w:p>
    <w:p>
      <w:pPr>
        <w:pStyle w:val="Heading2"/>
      </w:pPr>
      <w:r>
        <w:t>The pressure is unlikely to disappear soon</w:t>
      </w:r>
      <w:r/>
    </w:p>
    <w:p>
      <w:r/>
      <w:r>
        <w:t>Activists from the Gender Liberation Movement and ACT UP have staged care-ins and demonstrations outside hospitals over the programme closures. Their protests underline how personal the issue is, especially for families who see access to care as essential healthcare rather than a political bargaining chip.</w:t>
      </w:r>
      <w:r/>
    </w:p>
    <w:p>
      <w:r/>
      <w:r>
        <w:t>The proposed contract won’t settle the national argument over gender-affirming treatment for minors. What it could do is give New York families a more dependable local option while the legal and political battles continue elsewhere.</w:t>
      </w:r>
      <w:r/>
    </w:p>
    <w:p>
      <w:r/>
      <w:r>
        <w:t>For now, the plan is best understood as a bridge: a city-funded attempt to keep specialist care available while the healthcare system works out how to cope with mounting pressure. That’s a modest description, but for families facing a closed clinic, a bridge can mean everything.</w:t>
      </w:r>
      <w:r/>
    </w:p>
    <w:p>
      <w:r/>
      <w:r>
        <w:t>A steadier, community-led care network could make a real difference for trans young people and their families.</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0">
        <w:r>
          <w:rPr>
            <w:color w:val="0000EE"/>
            <w:u w:val="single"/>
          </w:rPr>
          <w:t>[5]</w:t>
        </w:r>
      </w:hyperlink>
      <w:r>
        <w:t xml:space="preserve">- Paragraph 2: </w:t>
      </w:r>
      <w:hyperlink r:id="rId11">
        <w:r>
          <w:rPr>
            <w:color w:val="0000EE"/>
            <w:u w:val="single"/>
          </w:rPr>
          <w:t>[3]</w:t>
        </w:r>
      </w:hyperlink>
      <w:r>
        <w:t xml:space="preserve">, </w:t>
      </w:r>
      <w:hyperlink r:id="rId12">
        <w:r>
          <w:rPr>
            <w:color w:val="0000EE"/>
            <w:u w:val="single"/>
          </w:rPr>
          <w:t>[4]</w:t>
        </w:r>
      </w:hyperlink>
      <w:r>
        <w:t xml:space="preserve">- Paragraph 3: </w:t>
      </w:r>
      <w:hyperlink r:id="rId10">
        <w:r>
          <w:rPr>
            <w:color w:val="0000EE"/>
            <w:u w:val="single"/>
          </w:rPr>
          <w:t>[2]</w:t>
        </w:r>
      </w:hyperlink>
      <w:r>
        <w:t xml:space="preserve">, </w:t>
      </w:r>
      <w:hyperlink r:id="rId10">
        <w:r>
          <w:rPr>
            <w:color w:val="0000EE"/>
            <w:u w:val="single"/>
          </w:rPr>
          <w:t>[7]</w:t>
        </w:r>
      </w:hyperlink>
      <w:r>
        <w:t xml:space="preserve">- Paragraph 4: </w:t>
      </w:r>
      <w:hyperlink r:id="rId11">
        <w:r>
          <w:rPr>
            <w:color w:val="0000EE"/>
            <w:u w:val="single"/>
          </w:rPr>
          <w:t>[3]</w:t>
        </w:r>
      </w:hyperlink>
      <w:r>
        <w:t xml:space="preserve">, </w:t>
      </w:r>
      <w:hyperlink r:id="rId12">
        <w:r>
          <w:rPr>
            <w:color w:val="0000EE"/>
            <w:u w:val="single"/>
          </w:rPr>
          <w:t>[6]</w:t>
        </w:r>
      </w:hyperlink>
      <w:r>
        <w:t xml:space="preserve">- Paragraph 5: </w:t>
      </w:r>
      <w:hyperlink r:id="rId12">
        <w:r>
          <w:rPr>
            <w:color w:val="0000EE"/>
            <w:u w:val="single"/>
          </w:rPr>
          <w:t>[4]</w:t>
        </w:r>
      </w:hyperlink>
      <w:r>
        <w:t xml:space="preserve">, </w:t>
      </w:r>
      <w:hyperlink r:id="rId10">
        <w:r>
          <w:rPr>
            <w:color w:val="0000EE"/>
            <w:u w:val="single"/>
          </w:rPr>
          <w:t>[5]</w:t>
        </w:r>
      </w:hyperlink>
      <w:r>
        <w:t xml:space="preserve">- Paragraph 6: </w:t>
      </w:r>
      <w:hyperlink r:id="rId10">
        <w:r>
          <w:rPr>
            <w:color w:val="0000EE"/>
            <w:u w:val="single"/>
          </w:rPr>
          <w:t>[2]</w:t>
        </w:r>
      </w:hyperlink>
      <w:r>
        <w:t xml:space="preserve">, </w:t>
      </w:r>
      <w:hyperlink r:id="rId10">
        <w:r>
          <w:rPr>
            <w:color w:val="0000EE"/>
            <w:u w:val="single"/>
          </w:rPr>
          <w:t>[7]</w:t>
        </w:r>
      </w:hyperlink>
      <w:r>
        <w:t xml:space="preserve">- Paragraph 7: </w:t>
      </w:r>
      <w:hyperlink r:id="rId11">
        <w:r>
          <w:rPr>
            <w:color w:val="0000EE"/>
            <w:u w:val="single"/>
          </w:rPr>
          <w:t>[3]</w:t>
        </w:r>
      </w:hyperlink>
      <w:r>
        <w:t xml:space="preserve">, </w:t>
      </w:r>
      <w:hyperlink r:id="rId12">
        <w:r>
          <w:rPr>
            <w:color w:val="0000EE"/>
            <w:u w:val="single"/>
          </w:rPr>
          <w:t>[6]</w:t>
        </w:r>
      </w:hyperlink>
      <w:r>
        <w:t xml:space="preserve">- Paragraph 8: </w:t>
      </w:r>
      <w:hyperlink r:id="rId12">
        <w:r>
          <w:rPr>
            <w:color w:val="0000EE"/>
            <w:u w:val="single"/>
          </w:rPr>
          <w:t>[4]</w:t>
        </w:r>
      </w:hyperlink>
      <w:r>
        <w:t xml:space="preserve">, </w:t>
      </w:r>
      <w:hyperlink r:id="rId10">
        <w:r>
          <w:rPr>
            <w:color w:val="0000EE"/>
            <w:u w:val="single"/>
          </w:rPr>
          <w:t>[5]</w:t>
        </w:r>
      </w:hyperlink>
      <w:r>
        <w:t xml:space="preserve">- Paragraph 9: </w:t>
      </w:r>
      <w:hyperlink r:id="rId10">
        <w:r>
          <w:rPr>
            <w:color w:val="0000EE"/>
            <w:u w:val="single"/>
          </w:rPr>
          <w:t>[2]</w:t>
        </w:r>
      </w:hyperlink>
      <w:r>
        <w:t xml:space="preserve">, </w:t>
      </w:r>
      <w:hyperlink r:id="rId10">
        <w:r>
          <w:rPr>
            <w:color w:val="0000EE"/>
            <w:u w:val="single"/>
          </w:rPr>
          <w:t>[7]</w:t>
        </w:r>
      </w:hyperlink>
      <w:r>
        <w:t xml:space="preserve">- Paragraph 10: </w:t>
      </w:r>
      <w:hyperlink r:id="rId11">
        <w:r>
          <w:rPr>
            <w:color w:val="0000EE"/>
            <w:u w:val="single"/>
          </w:rPr>
          <w:t>[3]</w:t>
        </w:r>
      </w:hyperlink>
      <w:r>
        <w:t xml:space="preserve">, </w:t>
      </w:r>
      <w:hyperlink r:id="rId12">
        <w:r>
          <w:rPr>
            <w:color w:val="0000EE"/>
            <w:u w:val="single"/>
          </w:rPr>
          <w:t>[6]</w:t>
        </w:r>
      </w:hyperlink>
      <w:r>
        <w:t xml:space="preserve">- Paragraph 11: </w:t>
      </w:r>
      <w:hyperlink r:id="rId10">
        <w:r>
          <w:rPr>
            <w:color w:val="0000EE"/>
            <w:u w:val="single"/>
          </w:rPr>
          <w:t>[2]</w:t>
        </w:r>
      </w:hyperlink>
      <w:r>
        <w:t xml:space="preserve">, </w:t>
      </w:r>
      <w:hyperlink r:id="rId10">
        <w:r>
          <w:rPr>
            <w:color w:val="0000EE"/>
            <w:u w:val="single"/>
          </w:rPr>
          <w:t>[5]</w:t>
        </w:r>
      </w:hyperlink>
      <w:r>
        <w:t xml:space="preserve">- Paragraph 12: </w:t>
      </w:r>
      <w:hyperlink r:id="rId11">
        <w:r>
          <w:rPr>
            <w:color w:val="0000EE"/>
            <w:u w:val="single"/>
          </w:rPr>
          <w:t>[3]</w:t>
        </w:r>
      </w:hyperlink>
      <w:r>
        <w:t xml:space="preserve">, </w:t>
      </w:r>
      <w:hyperlink r:id="rId10">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https://www.thepinknews.com/2026/10/07/nyc-trans-youth-care-2026/</w:t>
        </w:r>
      </w:hyperlink>
      <w:r>
        <w:t xml:space="preserve"> - Please view link - unable to able to access data</w:t>
      </w:r>
      <w:r/>
    </w:p>
    <w:p>
      <w:pPr>
        <w:pStyle w:val="ListNumber"/>
        <w:spacing w:line="240" w:lineRule="auto"/>
        <w:ind w:left="720"/>
      </w:pPr>
      <w:r/>
      <w:hyperlink r:id="rId10">
        <w:r>
          <w:rPr>
            <w:color w:val="0000EE"/>
            <w:u w:val="single"/>
          </w:rPr>
          <w:t>https://www.nyc.gov/mayors-office/news/2026/06/standing-up-for-trans-new-yorkers--mayor-mamdani-launches--15-mi</w:t>
        </w:r>
      </w:hyperlink>
      <w:r>
        <w:t xml:space="preserve"> - In June 2026, Mayor Zohran Kwame Mamdani announced a $15 million initiative to expand access to gender-affirming care for both youth and adults in New York City. This proactive investment aims to safeguard and enhance access to essential healthcare services amid increasing federal challenges to transgender rights. The plan includes establishing a direct care access fund for providers of youth gender-affirming care and launching a call and text line to connect New Yorkers with care, services, information, resources, and support related to gender-affirming care.</w:t>
      </w:r>
      <w:r/>
    </w:p>
    <w:p>
      <w:pPr>
        <w:pStyle w:val="ListNumber"/>
        <w:spacing w:line="240" w:lineRule="auto"/>
        <w:ind w:left="720"/>
      </w:pPr>
      <w:r/>
      <w:hyperlink r:id="rId11">
        <w:r>
          <w:rPr>
            <w:color w:val="0000EE"/>
            <w:u w:val="single"/>
          </w:rPr>
          <w:t>https://www.them.us/news/trans-youth</w:t>
        </w:r>
      </w:hyperlink>
      <w:r>
        <w:t xml:space="preserve"> - In October 2026, the New York City Department of Health and Mental Hygiene announced plans to allocate $8.9 million to healthcare nonprofits for providing gender-affirming care services to patients under 18. This decision follows the cessation of similar services at major private hospitals in the city over the past year, which had reduced access to care for some transgender youth. The funding aims to ensure continued access to hormone therapy and puberty-blocking medications for transgender youth in New York City.</w:t>
      </w:r>
      <w:r/>
    </w:p>
    <w:p>
      <w:pPr>
        <w:pStyle w:val="ListNumber"/>
        <w:spacing w:line="240" w:lineRule="auto"/>
        <w:ind w:left="720"/>
      </w:pPr>
      <w:r/>
      <w:hyperlink r:id="rId12">
        <w:r>
          <w:rPr>
            <w:color w:val="0000EE"/>
            <w:u w:val="single"/>
          </w:rPr>
          <w:t>https://www.nyc.gov/mayors-office/news/2025/12/mayor-adams-announces--2-million-emergency-fund-to-further-suppo</w:t>
        </w:r>
      </w:hyperlink>
      <w:r>
        <w:t xml:space="preserve"> - In December 2025, Mayor Eric Adams announced a $2 million emergency fund to support organizations serving transgender, gender nonconforming, or nonbinary (TGNCNB) New Yorkers. This funding, administered by the New York City Department of Health and Mental Hygiene, is intended to support community-based organizations that offer an array of inclusive, responsive, and affirming services to TGNCNB New Yorkers, including services related to health and wellness, legal advocacy, youth and family support, safety and crisis response, community building, and economic empowerment.</w:t>
      </w:r>
      <w:r/>
    </w:p>
    <w:p>
      <w:pPr>
        <w:pStyle w:val="ListNumber"/>
        <w:spacing w:line="240" w:lineRule="auto"/>
        <w:ind w:left="720"/>
      </w:pPr>
      <w:r/>
      <w:hyperlink r:id="rId10">
        <w:r>
          <w:rPr>
            <w:color w:val="0000EE"/>
            <w:u w:val="single"/>
          </w:rPr>
          <w:t>https://www.nyc.gov/mayors-office/news/2026/06/standing-up-for-trans-new-yorkers--mayor-mamdani-launches--15-mi</w:t>
        </w:r>
      </w:hyperlink>
      <w:r>
        <w:t xml:space="preserve"> - In June 2026, Mayor Zohran Kwame Mamdani announced a $15 million initiative to expand access to gender-affirming care for both youth and adults in New York City. This proactive investment aims to safeguard and enhance access to essential healthcare services amid increasing federal challenges to transgender rights. The plan includes establishing a direct care access fund for providers of youth gender-affirming care and launching a call and text line to connect New Yorkers with care, services, information, resources, and support related to gender-affirming care.</w:t>
      </w:r>
      <w:r/>
    </w:p>
    <w:p>
      <w:pPr>
        <w:pStyle w:val="ListNumber"/>
        <w:spacing w:line="240" w:lineRule="auto"/>
        <w:ind w:left="720"/>
      </w:pPr>
      <w:r/>
      <w:hyperlink r:id="rId12">
        <w:r>
          <w:rPr>
            <w:color w:val="0000EE"/>
            <w:u w:val="single"/>
          </w:rPr>
          <w:t>https://www.nyc.gov/mayors-office/news/2025/12/mayor-adams-announces--2-million-emergency-fund-to-further-suppo</w:t>
        </w:r>
      </w:hyperlink>
      <w:r>
        <w:t xml:space="preserve"> - In December 2025, Mayor Eric Adams announced a $2 million emergency fund to support organizations serving transgender, gender nonconforming, or nonbinary (TGNCNB) New Yorkers. This funding, administered by the New York City Department of Health and Mental Hygiene, is intended to support community-based organizations that offer an array of inclusive, responsive, and affirming services to TGNCNB New Yorkers, including services related to health and wellness, legal advocacy, youth and family support, safety and crisis response, community building, and economic empowerment.</w:t>
      </w:r>
      <w:r/>
    </w:p>
    <w:p>
      <w:pPr>
        <w:pStyle w:val="ListNumber"/>
        <w:spacing w:line="240" w:lineRule="auto"/>
        <w:ind w:left="720"/>
      </w:pPr>
      <w:r/>
      <w:hyperlink r:id="rId10">
        <w:r>
          <w:rPr>
            <w:color w:val="0000EE"/>
            <w:u w:val="single"/>
          </w:rPr>
          <w:t>https://www.nyc.gov/mayors-office/news/2026/06/standing-up-for-trans-new-yorkers--mayor-mamdani-launches--15-mi</w:t>
        </w:r>
      </w:hyperlink>
      <w:r>
        <w:t xml:space="preserve"> - In June 2026, Mayor Zohran Kwame Mamdani announced a $15 million initiative to expand access to gender-affirming care for both youth and adults in New York City. This proactive investment aims to safeguard and enhance access to essential healthcare services amid increasing federal challenges to transgender rights. The plan includes establishing a direct care access fund for providers of youth gender-affirming care and launching a call and text line to connect New Yorkers with care, services, information, resources, and support related to gender-affirming care.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thepinknews.com/2026/10/07/nyc-trans-youth-care-2026/" TargetMode="External"/><Relationship Id="rId10" Type="http://schemas.openxmlformats.org/officeDocument/2006/relationships/hyperlink" Target="https://www.nyc.gov/mayors-office/news/2026/06/standing-up-for-trans-new-yorkers--mayor-mamdani-launches--15-mi" TargetMode="External"/><Relationship Id="rId11" Type="http://schemas.openxmlformats.org/officeDocument/2006/relationships/hyperlink" Target="https://www.them.us/news/trans-youth" TargetMode="External"/><Relationship Id="rId12" Type="http://schemas.openxmlformats.org/officeDocument/2006/relationships/hyperlink" Target="https://www.nyc.gov/mayors-office/news/2025/12/mayor-adams-announces--2-million-emergency-fund-to-further-suppo"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