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Class Action Settlement Rules: What Illinois Residents Should Know</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local Illinois legal story is putting renewed attention on class action settlements, court approval and the rules that decide who gets compensation. The details matter for anyone involved in a consumer dispute, especially when a proposed payout, legal fees or an unfamiliar claims process appears in the post.</w:t>
      </w:r>
      <w:r/>
    </w:p>
    <w:p>
      <w:pPr>
        <w:pStyle w:val="Heading2"/>
      </w:pPr>
      <w:r>
        <w:t>Essential Takeaways</w:t>
      </w:r>
      <w:r/>
      <w:r/>
    </w:p>
    <w:p>
      <w:pPr>
        <w:pStyle w:val="ListBullet"/>
        <w:spacing w:line="240" w:lineRule="auto"/>
        <w:ind w:left="720"/>
      </w:pPr>
      <w:r/>
      <w:r>
        <w:rPr>
          <w:b/>
        </w:rPr>
        <w:t>Court scrutiny matters:</w:t>
      </w:r>
      <w:r>
        <w:t xml:space="preserve"> Judges must examine whether a proposed settlement is fair, reasonable and adequate.</w:t>
      </w:r>
      <w:r/>
    </w:p>
    <w:p>
      <w:pPr>
        <w:pStyle w:val="ListBullet"/>
        <w:spacing w:line="240" w:lineRule="auto"/>
        <w:ind w:left="720"/>
      </w:pPr>
      <w:r/>
      <w:r>
        <w:rPr>
          <w:b/>
        </w:rPr>
        <w:t>Standing can derail cases:</w:t>
      </w:r>
      <w:r>
        <w:t xml:space="preserve"> A claimant may need to show a concrete injury before a settlement can proceed.</w:t>
      </w:r>
      <w:r/>
    </w:p>
    <w:p>
      <w:pPr>
        <w:pStyle w:val="ListBullet"/>
        <w:spacing w:line="240" w:lineRule="auto"/>
        <w:ind w:left="720"/>
      </w:pPr>
      <w:r/>
      <w:r>
        <w:rPr>
          <w:b/>
        </w:rPr>
        <w:t>Cy pres awards remain contested:</w:t>
      </w:r>
      <w:r>
        <w:t xml:space="preserve"> Unclaimed funds directed to charities or other organisations can attract legal challenges.</w:t>
      </w:r>
      <w:r/>
    </w:p>
    <w:p>
      <w:pPr>
        <w:pStyle w:val="ListBullet"/>
        <w:spacing w:line="240" w:lineRule="auto"/>
        <w:ind w:left="720"/>
      </w:pPr>
      <w:r/>
      <w:r>
        <w:rPr>
          <w:b/>
        </w:rPr>
        <w:t>Class members have choices:</w:t>
      </w:r>
      <w:r>
        <w:t xml:space="preserve"> People may usually submit a claim, object to the agreement or opt out, depending on the notice.</w:t>
      </w:r>
      <w:r/>
    </w:p>
    <w:p>
      <w:pPr>
        <w:pStyle w:val="ListBullet"/>
        <w:spacing w:line="240" w:lineRule="auto"/>
        <w:ind w:left="720"/>
      </w:pPr>
      <w:r/>
      <w:r>
        <w:rPr>
          <w:b/>
        </w:rPr>
        <w:t>Deadlines are crucial:</w:t>
      </w:r>
      <w:r>
        <w:t xml:space="preserve"> Missing a claims or objection deadline can mean losing the chance to participate.</w:t>
      </w:r>
      <w:r/>
      <w:r/>
    </w:p>
    <w:p>
      <w:pPr>
        <w:pStyle w:val="Heading2"/>
      </w:pPr>
      <w:r>
        <w:t>Why this Illinois story matters beyond one courtroom</w:t>
      </w:r>
      <w:r/>
    </w:p>
    <w:p>
      <w:r/>
      <w:r>
        <w:t>Class action settlements can look deceptively simple. A notice arrives, the wording is dense, and the promised payment may be modest. Yet behind that small cheque sits a much bigger question: has the agreement genuinely served the people it claims to represent?</w:t>
      </w:r>
      <w:r/>
    </w:p>
    <w:p>
      <w:r/>
      <w:r>
        <w:t>That is why local reporting on the case matters. It brings a complicated corner of civil litigation closer to home, where readers can see how legal strategy, court oversight and consumer expectations collide. The wider debate has been especially sharp when settlements restrict future lawsuits or direct leftover money elsewhere.</w:t>
      </w:r>
      <w:r/>
    </w:p>
    <w:p>
      <w:r/>
      <w:r>
        <w:t>According to the American Bar Association, courts have increasingly focused on whether settlement terms properly protect absent class members. That scrutiny may feel bureaucratic, but it is meant to prevent people from being bound by an agreement they never actively negotiated.</w:t>
      </w:r>
      <w:r/>
    </w:p>
    <w:p>
      <w:pPr>
        <w:pStyle w:val="Heading2"/>
      </w:pPr>
      <w:r>
        <w:t>The settlement is only the beginning</w:t>
      </w:r>
      <w:r/>
    </w:p>
    <w:p>
      <w:r/>
      <w:r>
        <w:t>A proposed deal isn't automatically a final deal. Judges typically review the class definition, the value offered, the claims process, the release of future claims and the requested legal fees before granting approval.</w:t>
      </w:r>
      <w:r/>
    </w:p>
    <w:p>
      <w:r/>
      <w:r>
        <w:t>That review can expose practical weaknesses. If the notice is confusing, the claims procedure is awkward or the settlement benefits lawyers far more than consumers, the court may demand changes. The best agreements are not necessarily the largest on paper; they are the ones that people can understand and use.</w:t>
      </w:r>
      <w:r/>
    </w:p>
    <w:p>
      <w:r/>
      <w:r>
        <w:t>The American Bar Association has noted that courts may also assess how many class members are likely to claim their share and whether the settlement reflects the risks of continuing the case. In plain English, a guaranteed, accessible payment can sometimes be more meaningful than a larger but highly uncertain promise.</w:t>
      </w:r>
      <w:r/>
    </w:p>
    <w:p>
      <w:pPr>
        <w:pStyle w:val="Heading2"/>
      </w:pPr>
      <w:r>
        <w:t>Why standing can change everything</w:t>
      </w:r>
      <w:r/>
    </w:p>
    <w:p>
      <w:r/>
      <w:r>
        <w:t>One of the most important legal hurdles is standing, which broadly concerns whether a claimant has suffered the kind of concrete harm that allows a federal court to hear the dispute. Without it, even an otherwise carefully negotiated settlement can be vulnerable.</w:t>
      </w:r>
      <w:r/>
    </w:p>
    <w:p>
      <w:r/>
      <w:r>
        <w:t>That issue has overturned or threatened settlements in several prominent cases. As legal analysis from Dechert and the American Bar Association explains, a court may question whether it has authority to approve an agreement if the named plaintiffs cannot establish a sufficient injury.</w:t>
      </w:r>
      <w:r/>
    </w:p>
    <w:p>
      <w:r/>
      <w:r>
        <w:t>For consumers, the lesson is straightforward but easy to miss: being annoyed, receiving unwanted information or alleging a technical violation may not always be enough. The legal test depends on the claim, the court and the facts, so anyone receiving a settlement notice should avoid assuming that approval is guaranteed.</w:t>
      </w:r>
      <w:r/>
    </w:p>
    <w:p>
      <w:pPr>
        <w:pStyle w:val="Heading2"/>
      </w:pPr>
      <w:r>
        <w:t>Cy pres awards remain a difficult compromise</w:t>
      </w:r>
      <w:r/>
    </w:p>
    <w:p>
      <w:r/>
      <w:r>
        <w:t>Sometimes settlement money cannot be distributed neatly. People may be impossible to locate, individual payments may be tiny or the administrative cost of sending every cheque may outweigh the benefit. In those situations, courts have sometimes approved cy pres arrangements, directing remaining funds to organisations connected to the case's broader purpose.</w:t>
      </w:r>
      <w:r/>
    </w:p>
    <w:p>
      <w:r/>
      <w:r>
        <w:t>Supporters say this is better than allowing money to disappear. Critics worry that charities or institutions may receive funds without a sufficiently clear link to the class members who were harmed.</w:t>
      </w:r>
      <w:r/>
    </w:p>
    <w:p>
      <w:r/>
      <w:r>
        <w:t>Public Citizen has highlighted the controversy surrounding settlement structures and efforts to limit class actions, while legal commentary from Dechert has examined the uncertainty created when courts question the destination of unclaimed funds. It is an awkward balancing act: nobody wants wasted money, but nobody wants a settlement to become a convenient fundraising exercise either.</w:t>
      </w:r>
      <w:r/>
    </w:p>
    <w:p>
      <w:pPr>
        <w:pStyle w:val="Heading2"/>
      </w:pPr>
      <w:r>
        <w:t>What should class members do next?</w:t>
      </w:r>
      <w:r/>
    </w:p>
    <w:p>
      <w:r/>
      <w:r>
        <w:t>Start with the notice, however dry it looks. Check the claim deadline, the definition of the class, the estimated payment, the release of legal claims and the instructions for opting out or objecting. Keep a copy of anything you submit, including confirmation emails and postal receipts.</w:t>
      </w:r>
      <w:r/>
    </w:p>
    <w:p>
      <w:r/>
      <w:r>
        <w:t>It's also worth asking what the agreement prevents you from doing later. Some settlements require class members to give up related claims, while opting out may preserve the right to pursue an individual case. That choice can carry consequences, so legal advice may be sensible where the potential loss is significant.</w:t>
      </w:r>
      <w:r/>
    </w:p>
    <w:p>
      <w:r/>
      <w:r>
        <w:t>Court approval can still be challenged or revisited in unusual circumstances. Recent American Bar Association analysis shows that questions about standing and settlement review continue to shape the law, rather than sitting neatly in the past.</w:t>
      </w:r>
      <w:r/>
    </w:p>
    <w:p>
      <w:pPr>
        <w:pStyle w:val="Heading2"/>
      </w:pPr>
      <w:r>
        <w:t>The wider outlook for class actions</w:t>
      </w:r>
      <w:r/>
    </w:p>
    <w:p>
      <w:r/>
      <w:r>
        <w:t>The direction of travel is clear: courts are demanding more transparency. Lawyers seeking approval must explain why the settlement is fair, how the money will reach class members and why any restrictions or fee requests are justified.</w:t>
      </w:r>
      <w:r/>
    </w:p>
    <w:p>
      <w:r/>
      <w:r>
        <w:t>That may make cases slower and more expensive, but it can also improve confidence in the process. For ordinary consumers, the most reassuring settlement is one that feels understandable, proportionate and genuinely designed around the people affected.</w:t>
      </w:r>
      <w:r/>
    </w:p>
    <w:p>
      <w:r/>
      <w:r>
        <w:t>A legal notice may never be thrilling bedtime reading. Still, taking ten quiet minutes to understand it could protect rights that are worth considerably more than the envelope suggests.</w:t>
      </w:r>
      <w:r/>
    </w:p>
    <w:p>
      <w:r/>
      <w:r>
        <w:t>Read the notice carefully, mark every deadline and seek advice before giving up a claim.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12">
        <w:r>
          <w:rPr>
            <w:color w:val="0000EE"/>
            <w:u w:val="single"/>
          </w:rPr>
          <w:t>[4]</w:t>
        </w:r>
      </w:hyperlink>
      <w:r>
        <w:t xml:space="preserve">, </w:t>
      </w:r>
      <w:hyperlink r:id="rId13">
        <w:r>
          <w:rPr>
            <w:color w:val="0000EE"/>
            <w:u w:val="single"/>
          </w:rPr>
          <w:t>[7]</w:t>
        </w:r>
      </w:hyperlink>
      <w:r>
        <w:t xml:space="preserve">- Paragraph 5: </w:t>
      </w:r>
      <w:hyperlink r:id="rId15">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5">
        <w:r>
          <w:rPr>
            <w:color w:val="0000EE"/>
            <w:u w:val="single"/>
          </w:rPr>
          <w:t>[5]</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4">
        <w:r>
          <w:rPr>
            <w:color w:val="0000EE"/>
            <w:u w:val="single"/>
          </w:rPr>
          <w:t>[6]</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[3]</w:t>
        </w:r>
      </w:hyperlink>
      <w:r>
        <w:t xml:space="preserve">- Paragraph 10: </w:t>
      </w:r>
      <w:hyperlink r:id="rId12">
        <w:r>
          <w:rPr>
            <w:color w:val="0000EE"/>
            <w:u w:val="single"/>
          </w:rPr>
          <w:t>[4]</w:t>
        </w:r>
      </w:hyperlink>
      <w:r>
        <w:t xml:space="preserve">, </w:t>
      </w:r>
      <w:hyperlink r:id="rId15">
        <w:r>
          <w:rPr>
            <w:color w:val="0000EE"/>
            <w:u w:val="single"/>
          </w:rPr>
          <w:t>[5]</w:t>
        </w:r>
      </w:hyperlink>
      <w:r>
        <w:t xml:space="preserve">- Paragraph 11: </w:t>
      </w:r>
      <w:hyperlink r:id="rId14">
        <w:r>
          <w:rPr>
            <w:color w:val="0000EE"/>
            <w:u w:val="single"/>
          </w:rPr>
          <w:t>[6]</w:t>
        </w:r>
      </w:hyperlink>
      <w:r>
        <w:t xml:space="preserve">, </w:t>
      </w:r>
      <w:hyperlink r:id="rId13">
        <w:r>
          <w:rPr>
            <w:color w:val="0000EE"/>
            <w:u w:val="single"/>
          </w:rPr>
          <w:t>[7]</w:t>
        </w:r>
      </w:hyperlink>
      <w:r>
        <w:t xml:space="preserve">- Paragraph 12: </w:t>
      </w:r>
      <w:hyperlink r:id="rId11">
        <w:r>
          <w:rPr>
            <w:color w:val="0000EE"/>
            <w:u w:val="single"/>
          </w:rPr>
          <w:t>[3]</w:t>
        </w:r>
      </w:hyperlink>
      <w:r>
        <w:t xml:space="preserve">, </w:t>
      </w:r>
      <w:hyperlink r:id="rId13">
        <w:r>
          <w:rPr>
            <w:color w:val="0000EE"/>
            <w:u w:val="single"/>
          </w:rPr>
          <w:t>[7]</w:t>
        </w:r>
      </w:hyperlink>
      <w:r>
        <w:t xml:space="preserve">- Paragraph 13: </w:t>
      </w:r>
      <w:hyperlink r:id="rId10">
        <w:r>
          <w:rPr>
            <w:color w:val="0000EE"/>
            <w:u w:val="single"/>
          </w:rPr>
          <w:t>[2]</w:t>
        </w:r>
      </w:hyperlink>
      <w:r>
        <w:t xml:space="preserve">, </w:t>
      </w:r>
      <w:hyperlink r:id="rId15">
        <w:r>
          <w:rPr>
            <w:color w:val="0000EE"/>
            <w:u w:val="single"/>
          </w:rPr>
          <w:t>[5]</w:t>
        </w:r>
      </w:hyperlink>
      <w:r>
        <w:t xml:space="preserve">- Paragraph 14: </w:t>
      </w:r>
      <w:hyperlink r:id="rId14">
        <w:r>
          <w:rPr>
            <w:color w:val="0000EE"/>
            <w:u w:val="single"/>
          </w:rPr>
          <w:t>[6]</w:t>
        </w:r>
      </w:hyperlink>
      <w:r>
        <w:t xml:space="preserve">, </w:t>
      </w:r>
      <w:hyperlink r:id="rId13">
        <w:r>
          <w:rPr>
            <w:color w:val="0000EE"/>
            <w:u w:val="single"/>
          </w:rPr>
          <w:t>[7]</w:t>
        </w:r>
      </w:hyperlink>
      <w:r>
        <w:t xml:space="preserve">- Paragraph 15: </w:t>
      </w:r>
      <w:hyperlink r:id="rId11">
        <w:r>
          <w:rPr>
            <w:color w:val="0000EE"/>
            <w:u w:val="single"/>
          </w:rPr>
          <w:t>[3]</w:t>
        </w:r>
      </w:hyperlink>
      <w:r>
        <w:t xml:space="preserve">, </w:t>
      </w:r>
      <w:hyperlink r:id="rId12">
        <w:r>
          <w:rPr>
            <w:color w:val="0000EE"/>
            <w:u w:val="single"/>
          </w:rPr>
          <w:t>[4]</w:t>
        </w:r>
      </w:hyperlink>
      <w:r>
        <w:t xml:space="preserve">- Paragraph 16: </w:t>
      </w:r>
      <w:hyperlink r:id="rId15">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https://pantagraph.com/news/local/article_dd29211d-0af5-48ff-8ed3-b6c50b044e77.html</w:t>
        </w:r>
      </w:hyperlink>
      <w:r>
        <w:t xml:space="preserve"> - Please view link - unable to able to access data</w:t>
      </w:r>
      <w:r/>
    </w:p>
    <w:p>
      <w:pPr>
        <w:pStyle w:val="ListNumber"/>
        <w:spacing w:line="240" w:lineRule="auto"/>
        <w:ind w:left="720"/>
      </w:pPr>
      <w:r/>
      <w:hyperlink r:id="rId10">
        <w:r>
          <w:rPr>
            <w:color w:val="0000EE"/>
            <w:u w:val="single"/>
          </w:rPr>
          <w:t>https://www.citizen.org/media/press-releases/schwab-backs-down-class-action-ban</w:t>
        </w:r>
      </w:hyperlink>
      <w:r>
        <w:t xml:space="preserve"> - In April 2014, Charles Schwab agreed to eliminate class-action bans from its investor contracts following a settlement with the Financial Industry Regulatory Authority (FINRA). This decision was influenced by the U.S. Supreme Court's 2011 ruling in AT&amp;T Mobility v. Concepcion, which permitted corporations to include class-action bans in pre-dispute arbitration clauses. The settlement was seen as a victory for investors, allowing them to seek accountability for financial harm caused by widespread misconduct. Public Citizen played a significant role in this outcome by launching a petition that garnered over 15,000 signatures in under 24 hours, advocating for the elimination of such bans in investor contracts. (</w:t>
      </w:r>
      <w:hyperlink r:id="rId16">
        <w:r>
          <w:rPr>
            <w:color w:val="0000EE"/>
            <w:u w:val="single"/>
          </w:rPr>
          <w:t>citizen.org</w:t>
        </w:r>
      </w:hyperlink>
      <w:r>
        <w:t>)</w:t>
      </w:r>
      <w:r/>
    </w:p>
    <w:p>
      <w:pPr>
        <w:pStyle w:val="ListNumber"/>
        <w:spacing w:line="240" w:lineRule="auto"/>
        <w:ind w:left="720"/>
      </w:pPr>
      <w:r/>
      <w:hyperlink r:id="rId11">
        <w:r>
          <w:rPr>
            <w:color w:val="0000EE"/>
            <w:u w:val="single"/>
          </w:rPr>
          <w:t>https://www.americanbar.org/groups/litigation/resources/newsletters/commercial-business/reversal-of-class-action-settlements/</w:t>
        </w:r>
      </w:hyperlink>
      <w:r>
        <w:t xml:space="preserve"> - Recent Supreme Court decisions, notably TransUnion LLC v. Ramirez, have heightened the scrutiny of Article III standing in class action settlements. Courts are now more vigilant in ensuring that class members possess the necessary standing to participate in settlements. This increased scrutiny has led to reversals and remands of class settlements that failed to meet standing requirements. Legal counsel must ensure that all class members have Article III standing, as courts are willing to raise this issue sua sponte, even if not raised by the parties, potentially undoing settlements approved by trial courts. (</w:t>
      </w:r>
      <w:hyperlink r:id="rId17">
        <w:r>
          <w:rPr>
            <w:color w:val="0000EE"/>
            <w:u w:val="single"/>
          </w:rPr>
          <w:t>americanbar.org</w:t>
        </w:r>
      </w:hyperlink>
      <w:r>
        <w:t>)</w:t>
      </w:r>
      <w:r/>
    </w:p>
    <w:p>
      <w:pPr>
        <w:pStyle w:val="ListNumber"/>
        <w:spacing w:line="240" w:lineRule="auto"/>
        <w:ind w:left="720"/>
      </w:pPr>
      <w:r/>
      <w:hyperlink r:id="rId12">
        <w:r>
          <w:rPr>
            <w:color w:val="0000EE"/>
            <w:u w:val="single"/>
          </w:rPr>
          <w:t>https://www.kirkland.com/publications/article/2019/02/class-action-settlement-approval-in-an-era-of-heig</w:t>
        </w:r>
      </w:hyperlink>
      <w:r>
        <w:t xml:space="preserve"> - Recent case law highlights that settling a class action is fundamentally different from settling an individual one. Courts take seriously their obligation to scrutinize class action settlements and often decisions made years before a settlement can hinder the ability to settle a case on a classwide basis. The article discusses the increased judicial scrutiny of class action settlements, emphasizing the importance of transparency and fairness in the settlement process. It also provides pointers for navigating the settlement approval process, including ensuring adequate representation of the class and fair allocation of settlement funds. (</w:t>
      </w:r>
      <w:hyperlink r:id="rId18">
        <w:r>
          <w:rPr>
            <w:color w:val="0000EE"/>
            <w:u w:val="single"/>
          </w:rPr>
          <w:t>kirkland.com</w:t>
        </w:r>
      </w:hyperlink>
      <w:r>
        <w:t>)</w:t>
      </w:r>
      <w:r/>
    </w:p>
    <w:p>
      <w:pPr>
        <w:pStyle w:val="ListNumber"/>
        <w:spacing w:line="240" w:lineRule="auto"/>
        <w:ind w:left="720"/>
      </w:pPr>
      <w:r/>
      <w:hyperlink r:id="rId15">
        <w:r>
          <w:rPr>
            <w:color w:val="0000EE"/>
            <w:u w:val="single"/>
          </w:rPr>
          <w:t>https://www.dechert.com/knowledge/onpoint/2019/3/standing-question-prevents-clarity-from-justices-on--cy-pres--cl.html</w:t>
        </w:r>
      </w:hyperlink>
      <w:r>
        <w:t xml:space="preserve"> - A cy pres-only settlement, designed to indirectly benefit class members, while class counsel and named plaintiffs receive monetary awards, recently came under scrutiny before the Supreme Court. A jurisdictional Article III standing issue prevented the Justices from assessing whether cy pres settlements alone satisfy the requirement that class settlements be 'fair, reasonable, and adequate' consistent with Federal Rule of Civil Procedure 23. The Court made clear that a class action settlement cannot be approved absent a determination that the court has jurisdiction over the matter. (</w:t>
      </w:r>
      <w:hyperlink r:id="rId19">
        <w:r>
          <w:rPr>
            <w:color w:val="0000EE"/>
            <w:u w:val="single"/>
          </w:rPr>
          <w:t>dechert.com</w:t>
        </w:r>
      </w:hyperlink>
      <w:r>
        <w:t>)</w:t>
      </w:r>
      <w:r/>
    </w:p>
    <w:p>
      <w:pPr>
        <w:pStyle w:val="ListNumber"/>
        <w:spacing w:line="240" w:lineRule="auto"/>
        <w:ind w:left="720"/>
      </w:pPr>
      <w:r/>
      <w:hyperlink r:id="rId14">
        <w:r>
          <w:rPr>
            <w:color w:val="0000EE"/>
            <w:u w:val="single"/>
          </w:rPr>
          <w:t>https://www.americanbar.org/groups/litigation/resources/litigation-news/2023/lack-standing-undoes-class-settlement/</w:t>
        </w:r>
      </w:hyperlink>
      <w:r>
        <w:t xml:space="preserve"> - An appellate court vacated the certification and approval of a nationwide class settlement because certain class members would be unable to establish damages under the law in their respective circuits. The court held that every class member within the class definition, including absent class members, must have Article III standing in order to approve a settlement. This decision aligns with recent Supreme Court case law and may require attorneys to perform additional due diligence in reaching class settlements, including evaluating the standing of each class member upfront. (</w:t>
      </w:r>
      <w:hyperlink r:id="rId20">
        <w:r>
          <w:rPr>
            <w:color w:val="0000EE"/>
            <w:u w:val="single"/>
          </w:rPr>
          <w:t>americanbar.org</w:t>
        </w:r>
      </w:hyperlink>
      <w:r>
        <w:t>)</w:t>
      </w:r>
      <w:r/>
    </w:p>
    <w:p>
      <w:pPr>
        <w:pStyle w:val="ListNumber"/>
        <w:spacing w:line="240" w:lineRule="auto"/>
        <w:ind w:left="720"/>
      </w:pPr>
      <w:r/>
      <w:hyperlink r:id="rId13">
        <w:r>
          <w:rPr>
            <w:color w:val="0000EE"/>
            <w:u w:val="single"/>
          </w:rPr>
          <w:t>https://www.americanbar.org/groups/business_law/resources/business-lawyer/2023-spring/judicial-review-of-class-action-settlements/</w:t>
        </w:r>
      </w:hyperlink>
      <w:r>
        <w:t xml:space="preserve"> - This survey reviews recent court scrutiny of class action settlements in the interest of protecting absent class members. These decisions have cemented the protection of arbitration agreements as a matter of law, to the benefit of businesses, consumers, and employees alike. The article discusses the heightened judicial review of class action settlements, emphasizing the need for fairness and adequacy in the settlement process. It also highlights the importance of protecting arbitration agreements and the impact of recent legal developments on class action settlements. (</w:t>
      </w:r>
      <w:hyperlink r:id="rId21">
        <w:r>
          <w:rPr>
            <w:color w:val="0000EE"/>
            <w:u w:val="single"/>
          </w:rPr>
          <w:t>americanbar.org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antagraph.com/news/local/article_dd29211d-0af5-48ff-8ed3-b6c50b044e77.html" TargetMode="External"/><Relationship Id="rId10" Type="http://schemas.openxmlformats.org/officeDocument/2006/relationships/hyperlink" Target="https://www.citizen.org/media/press-releases/schwab-backs-down-class-action-ban" TargetMode="External"/><Relationship Id="rId11" Type="http://schemas.openxmlformats.org/officeDocument/2006/relationships/hyperlink" Target="https://www.americanbar.org/groups/litigation/resources/newsletters/commercial-business/reversal-of-class-action-settlements/" TargetMode="External"/><Relationship Id="rId12" Type="http://schemas.openxmlformats.org/officeDocument/2006/relationships/hyperlink" Target="https://www.kirkland.com/publications/article/2019/02/class-action-settlement-approval-in-an-era-of-heig" TargetMode="External"/><Relationship Id="rId13" Type="http://schemas.openxmlformats.org/officeDocument/2006/relationships/hyperlink" Target="https://www.americanbar.org/groups/business_law/resources/business-lawyer/2023-spring/judicial-review-of-class-action-settlements/" TargetMode="External"/><Relationship Id="rId14" Type="http://schemas.openxmlformats.org/officeDocument/2006/relationships/hyperlink" Target="https://www.americanbar.org/groups/litigation/resources/litigation-news/2023/lack-standing-undoes-class-settlement/" TargetMode="External"/><Relationship Id="rId15" Type="http://schemas.openxmlformats.org/officeDocument/2006/relationships/hyperlink" Target="https://www.dechert.com/knowledge/onpoint/2019/3/standing-question-prevents-clarity-from-justices-on--cy-pres--cl.html" TargetMode="External"/><Relationship Id="rId16" Type="http://schemas.openxmlformats.org/officeDocument/2006/relationships/hyperlink" Target="https://www.citizen.org/media/press-releases/schwab-backs-down-class-action-ban?utm_source=openai" TargetMode="External"/><Relationship Id="rId17" Type="http://schemas.openxmlformats.org/officeDocument/2006/relationships/hyperlink" Target="https://www.americanbar.org/groups/litigation/resources/newsletters/commercial-business/reversal-of-class-action-settlements/?utm_source=openai" TargetMode="External"/><Relationship Id="rId18" Type="http://schemas.openxmlformats.org/officeDocument/2006/relationships/hyperlink" Target="https://www.kirkland.com/publications/article/2019/02/class-action-settlement-approval-in-an-era-of-heig?utm_source=openai" TargetMode="External"/><Relationship Id="rId19" Type="http://schemas.openxmlformats.org/officeDocument/2006/relationships/hyperlink" Target="https://www.dechert.com/knowledge/onpoint/2019/3/standing-question-prevents-clarity-from-justices-on--cy-pres--cl.html?utm_source=openai" TargetMode="External"/><Relationship Id="rId20" Type="http://schemas.openxmlformats.org/officeDocument/2006/relationships/hyperlink" Target="https://www.americanbar.org/groups/litigation/resources/litigation-news/2023/lack-standing-undoes-class-settlement/?utm_source=openai" TargetMode="External"/><Relationship Id="rId21" Type="http://schemas.openxmlformats.org/officeDocument/2006/relationships/hyperlink" Target="https://www.americanbar.org/groups/business_law/resources/business-lawyer/2023-spring/judicial-review-of-class-action-settlement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